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2A" w:rsidRDefault="00C1572A" w:rsidP="00C1572A">
      <w:pPr>
        <w:jc w:val="center"/>
      </w:pPr>
      <w:r>
        <w:t>Physical Therapy Guidelines</w:t>
      </w:r>
    </w:p>
    <w:p w:rsidR="007E5CB0" w:rsidRDefault="007E5CB0">
      <w:bookmarkStart w:id="0" w:name="_GoBack"/>
      <w:bookmarkEnd w:id="0"/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7E5CB0" w:rsidTr="007E5CB0">
        <w:tc>
          <w:tcPr>
            <w:tcW w:w="2337" w:type="dxa"/>
          </w:tcPr>
          <w:p w:rsidR="007E5CB0" w:rsidRDefault="007E5CB0" w:rsidP="007E5CB0"/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Preop PT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Postop PT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  <w:r>
              <w:t>NEEDS PT SCHEDULED BY CM</w:t>
            </w:r>
          </w:p>
        </w:tc>
      </w:tr>
      <w:tr w:rsidR="007E5CB0" w:rsidTr="007E5CB0"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Toe surgery or metatarsal surgery (ie: bunion, hammertoe, lapidus, weil osteotomy, toe tendon transfers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</w:p>
        </w:tc>
      </w:tr>
      <w:tr w:rsidR="007E5CB0" w:rsidTr="007E5CB0"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Midfoot surgery (midfoot fusion, resection, osteotomy)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</w:p>
        </w:tc>
      </w:tr>
      <w:tr w:rsidR="007E5CB0" w:rsidTr="007E5CB0"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Hindfoot fusion (subtalar fusion, ankle fusion,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12 weeks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</w:p>
        </w:tc>
      </w:tr>
      <w:tr w:rsidR="007E5CB0" w:rsidTr="007E5CB0"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Flatfoot or Cavus foot reconstruction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6 weeks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</w:p>
        </w:tc>
      </w:tr>
      <w:tr w:rsidR="007E5CB0" w:rsidTr="007E5CB0"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Tendon transfers – general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6 weeks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</w:p>
        </w:tc>
      </w:tr>
      <w:tr w:rsidR="007E5CB0" w:rsidTr="007E5CB0"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Ankle Scope/Brostrom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 xml:space="preserve">2-3 weeks 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</w:p>
        </w:tc>
      </w:tr>
      <w:tr w:rsidR="007E5CB0" w:rsidTr="007E5CB0"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Achilles tear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2-3 weeks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  <w:r>
              <w:t>x</w:t>
            </w:r>
          </w:p>
        </w:tc>
      </w:tr>
      <w:tr w:rsidR="007E5CB0" w:rsidTr="007E5CB0"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Ankle replacement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3 weeks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  <w:r>
              <w:t>x</w:t>
            </w:r>
          </w:p>
        </w:tc>
      </w:tr>
      <w:tr w:rsidR="007E5CB0" w:rsidTr="007E5CB0"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Knee Scope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No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Postop day 1, 2, or 3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  <w:r>
              <w:t>x</w:t>
            </w:r>
          </w:p>
        </w:tc>
      </w:tr>
      <w:tr w:rsidR="007E5CB0" w:rsidTr="007E5CB0"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TKA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 xml:space="preserve">Yes 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Yes – Standard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  <w:r>
              <w:t>x</w:t>
            </w:r>
          </w:p>
        </w:tc>
      </w:tr>
      <w:tr w:rsidR="007E5CB0" w:rsidTr="007E5CB0"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THA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Yes</w:t>
            </w:r>
          </w:p>
        </w:tc>
        <w:tc>
          <w:tcPr>
            <w:tcW w:w="2337" w:type="dxa"/>
          </w:tcPr>
          <w:p w:rsidR="007E5CB0" w:rsidRDefault="007E5CB0" w:rsidP="007E5CB0">
            <w:pPr>
              <w:jc w:val="center"/>
            </w:pPr>
            <w:r>
              <w:t>Yes - Standard</w:t>
            </w:r>
          </w:p>
        </w:tc>
        <w:tc>
          <w:tcPr>
            <w:tcW w:w="2337" w:type="dxa"/>
          </w:tcPr>
          <w:p w:rsidR="007E5CB0" w:rsidRDefault="007E5CB0" w:rsidP="00A35F08">
            <w:pPr>
              <w:jc w:val="center"/>
            </w:pPr>
          </w:p>
        </w:tc>
      </w:tr>
    </w:tbl>
    <w:p w:rsidR="007E5CB0" w:rsidRDefault="007E5CB0"/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E2A944D-6ABD-4630-BF6F-070A2F39344F}"/>
    <w:docVar w:name="dgnword-eventsink" w:val="1715478638192"/>
  </w:docVars>
  <w:rsids>
    <w:rsidRoot w:val="00C1572A"/>
    <w:rsid w:val="000C5970"/>
    <w:rsid w:val="00221E4B"/>
    <w:rsid w:val="004B2D14"/>
    <w:rsid w:val="007E5CB0"/>
    <w:rsid w:val="00A35F08"/>
    <w:rsid w:val="00C1572A"/>
    <w:rsid w:val="00D56B08"/>
    <w:rsid w:val="00E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C222"/>
  <w15:chartTrackingRefBased/>
  <w15:docId w15:val="{4F09AC81-E412-4E6A-B573-83CD7005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Chad M</dc:creator>
  <cp:keywords/>
  <dc:description/>
  <cp:lastModifiedBy>Ferguson, Chad M</cp:lastModifiedBy>
  <cp:revision>3</cp:revision>
  <dcterms:created xsi:type="dcterms:W3CDTF">2019-10-03T23:25:00Z</dcterms:created>
  <dcterms:modified xsi:type="dcterms:W3CDTF">2020-03-10T00:48:00Z</dcterms:modified>
</cp:coreProperties>
</file>