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CAC5" w14:textId="370F7C8D" w:rsidR="008A34E2" w:rsidRPr="00F23B5A" w:rsidRDefault="008A34E2" w:rsidP="00F67CA4">
      <w:pPr>
        <w:rPr>
          <w:b/>
        </w:rPr>
      </w:pPr>
      <w:bookmarkStart w:id="0" w:name="_GoBack"/>
      <w:bookmarkEnd w:id="0"/>
      <w:r w:rsidRPr="00F23B5A">
        <w:rPr>
          <w:b/>
        </w:rPr>
        <w:t>COVID-19 in Alaska</w:t>
      </w:r>
      <w:r w:rsidR="00180521" w:rsidRPr="00F23B5A">
        <w:rPr>
          <w:b/>
          <w:color w:val="FF0000"/>
        </w:rPr>
        <w:t xml:space="preserve"> </w:t>
      </w:r>
    </w:p>
    <w:p w14:paraId="35F2D248" w14:textId="15F079B5" w:rsidR="00CF3F52" w:rsidRDefault="008A34E2" w:rsidP="00F67CA4">
      <w:r w:rsidRPr="00180521">
        <w:t xml:space="preserve">Alaska has </w:t>
      </w:r>
      <w:r w:rsidR="00F23B5A">
        <w:t xml:space="preserve">a </w:t>
      </w:r>
      <w:r w:rsidR="00180521">
        <w:t>low number</w:t>
      </w:r>
      <w:r w:rsidRPr="00180521">
        <w:t xml:space="preserve"> of COVID-19 cases</w:t>
      </w:r>
      <w:r w:rsidR="00CF3F52">
        <w:t xml:space="preserve"> compared to other states</w:t>
      </w:r>
      <w:r w:rsidRPr="00180521">
        <w:t>.</w:t>
      </w:r>
      <w:r w:rsidR="00CF3F52">
        <w:t xml:space="preserve"> Alaskans were quick to practice social distancing and other COVID-19 precautions</w:t>
      </w:r>
      <w:r w:rsidR="000E44D2">
        <w:t>,</w:t>
      </w:r>
      <w:r w:rsidR="00CF3F52">
        <w:t xml:space="preserve"> which was essential to limiting the spread. There are some unique characteristics of Alaska that help protect us, but there are also factors that make many Alaskan</w:t>
      </w:r>
      <w:r w:rsidR="006C45BA">
        <w:t>s</w:t>
      </w:r>
      <w:r w:rsidR="00CF3F52">
        <w:t xml:space="preserve"> more vulnerable to the spread of COVID-19.</w:t>
      </w:r>
      <w:r w:rsidR="0052444E" w:rsidRPr="00180521">
        <w:t xml:space="preserve"> </w:t>
      </w:r>
    </w:p>
    <w:p w14:paraId="16DDF7BB" w14:textId="3FCF2C15" w:rsidR="00C1773C" w:rsidRPr="00180521" w:rsidRDefault="00C1773C" w:rsidP="00F67CA4"/>
    <w:p w14:paraId="5C757755" w14:textId="77777777" w:rsidR="00C1773C" w:rsidRPr="00CA4D7F" w:rsidRDefault="00C1773C" w:rsidP="00F67CA4">
      <w:pPr>
        <w:rPr>
          <w:b/>
        </w:rPr>
      </w:pPr>
      <w:r w:rsidRPr="00CA4D7F">
        <w:rPr>
          <w:b/>
        </w:rPr>
        <w:t>Protective factors</w:t>
      </w:r>
    </w:p>
    <w:p w14:paraId="216FCCC6" w14:textId="0CF7AB82" w:rsidR="00C1773C" w:rsidRPr="00180521" w:rsidRDefault="00180521" w:rsidP="00CA4D7F">
      <w:pPr>
        <w:pStyle w:val="ListParagraph"/>
        <w:numPr>
          <w:ilvl w:val="0"/>
          <w:numId w:val="5"/>
        </w:numPr>
        <w:ind w:left="720"/>
      </w:pPr>
      <w:r w:rsidRPr="00CA4D7F">
        <w:rPr>
          <w:b/>
        </w:rPr>
        <w:t>Travel B</w:t>
      </w:r>
      <w:r w:rsidR="00C1773C" w:rsidRPr="00CA4D7F">
        <w:rPr>
          <w:b/>
        </w:rPr>
        <w:t>ans</w:t>
      </w:r>
      <w:r w:rsidRPr="00CA4D7F">
        <w:rPr>
          <w:b/>
        </w:rPr>
        <w:t>/Isolated Communities</w:t>
      </w:r>
      <w:r w:rsidR="00CA4D7F">
        <w:t>:</w:t>
      </w:r>
      <w:r w:rsidR="006C45BA">
        <w:t xml:space="preserve"> </w:t>
      </w:r>
      <w:r w:rsidR="00D24E46" w:rsidRPr="00707473">
        <w:t>Since COVID-19 spread</w:t>
      </w:r>
      <w:r w:rsidR="00707473">
        <w:t>s</w:t>
      </w:r>
      <w:r w:rsidR="00D24E46" w:rsidRPr="00707473">
        <w:t xml:space="preserve"> mostly from pers</w:t>
      </w:r>
      <w:r w:rsidR="00F23B5A">
        <w:t xml:space="preserve">on to person, limiting travel </w:t>
      </w:r>
      <w:r w:rsidR="00D24E46" w:rsidRPr="00707473">
        <w:t xml:space="preserve">to communities </w:t>
      </w:r>
      <w:r w:rsidR="006C45BA">
        <w:t>helped</w:t>
      </w:r>
      <w:r w:rsidR="00707473">
        <w:t xml:space="preserve"> pre</w:t>
      </w:r>
      <w:r w:rsidR="006C45BA">
        <w:t>vent</w:t>
      </w:r>
      <w:r w:rsidR="00F23B5A">
        <w:t xml:space="preserve"> the spread of the </w:t>
      </w:r>
      <w:r w:rsidR="00CA4D7F">
        <w:t>corona</w:t>
      </w:r>
      <w:r w:rsidR="00707473">
        <w:t>virus.</w:t>
      </w:r>
    </w:p>
    <w:p w14:paraId="590F9A0D" w14:textId="0E20A898" w:rsidR="00C1773C" w:rsidRPr="00180521" w:rsidRDefault="00180521" w:rsidP="00CA4D7F">
      <w:pPr>
        <w:pStyle w:val="ListParagraph"/>
        <w:numPr>
          <w:ilvl w:val="0"/>
          <w:numId w:val="5"/>
        </w:numPr>
        <w:ind w:left="720"/>
      </w:pPr>
      <w:r w:rsidRPr="00CA4D7F">
        <w:rPr>
          <w:b/>
        </w:rPr>
        <w:t>Fewer S</w:t>
      </w:r>
      <w:r w:rsidR="00C1773C" w:rsidRPr="00CA4D7F">
        <w:rPr>
          <w:b/>
        </w:rPr>
        <w:t xml:space="preserve">hared </w:t>
      </w:r>
      <w:r w:rsidRPr="00CA4D7F">
        <w:rPr>
          <w:b/>
        </w:rPr>
        <w:t>P</w:t>
      </w:r>
      <w:r w:rsidR="00C1773C" w:rsidRPr="00CA4D7F">
        <w:rPr>
          <w:b/>
        </w:rPr>
        <w:t xml:space="preserve">ublic </w:t>
      </w:r>
      <w:r w:rsidRPr="00CA4D7F">
        <w:rPr>
          <w:b/>
        </w:rPr>
        <w:t>S</w:t>
      </w:r>
      <w:r w:rsidR="00C1773C" w:rsidRPr="00CA4D7F">
        <w:rPr>
          <w:b/>
        </w:rPr>
        <w:t>paces</w:t>
      </w:r>
      <w:r w:rsidR="00CA4D7F">
        <w:t>:</w:t>
      </w:r>
      <w:r w:rsidR="00D24E46" w:rsidRPr="00180521">
        <w:t xml:space="preserve"> Alaska doesn’t have a crowded subway systems or packed city streets</w:t>
      </w:r>
      <w:r w:rsidR="00DB5F64">
        <w:t>,</w:t>
      </w:r>
      <w:r w:rsidR="000E44D2">
        <w:t xml:space="preserve"> which</w:t>
      </w:r>
      <w:r w:rsidR="00D24E46" w:rsidRPr="00180521">
        <w:t xml:space="preserve"> makes so</w:t>
      </w:r>
      <w:r w:rsidR="00790568">
        <w:t>cial distancing less challenging here</w:t>
      </w:r>
      <w:r w:rsidR="00D24E46" w:rsidRPr="00180521">
        <w:t>. S</w:t>
      </w:r>
      <w:r w:rsidR="006C45BA">
        <w:t>ince s</w:t>
      </w:r>
      <w:r w:rsidR="00D24E46" w:rsidRPr="00180521">
        <w:t>ocial dist</w:t>
      </w:r>
      <w:r w:rsidR="00DB5F64">
        <w:t xml:space="preserve">ancing is still necessary to prevent the </w:t>
      </w:r>
      <w:r w:rsidR="00D24E46" w:rsidRPr="00180521">
        <w:t>spread</w:t>
      </w:r>
      <w:r w:rsidR="00790568">
        <w:t xml:space="preserve"> of COVID-19</w:t>
      </w:r>
      <w:r w:rsidR="006C45BA">
        <w:t>,</w:t>
      </w:r>
      <w:r w:rsidR="00790568">
        <w:t xml:space="preserve"> </w:t>
      </w:r>
      <w:r w:rsidR="00DB5F64">
        <w:t>Alaskans</w:t>
      </w:r>
      <w:r w:rsidR="006C45BA">
        <w:t xml:space="preserve"> tend to have an easier time</w:t>
      </w:r>
      <w:r w:rsidR="00790568">
        <w:t xml:space="preserve"> remain</w:t>
      </w:r>
      <w:r w:rsidR="006C45BA">
        <w:t>ing</w:t>
      </w:r>
      <w:r w:rsidR="00790568">
        <w:t xml:space="preserve"> at least 6 ft. from others while out in public or</w:t>
      </w:r>
      <w:r w:rsidR="00DB5F64">
        <w:t xml:space="preserve"> </w:t>
      </w:r>
      <w:r w:rsidR="00D24E46" w:rsidRPr="00180521">
        <w:t xml:space="preserve">enjoying </w:t>
      </w:r>
      <w:r w:rsidR="00790568">
        <w:t>the great outdoors.</w:t>
      </w:r>
    </w:p>
    <w:p w14:paraId="4695C18F" w14:textId="5874255D" w:rsidR="00C1773C" w:rsidRPr="00180521" w:rsidRDefault="00C1773C" w:rsidP="00CA4D7F">
      <w:pPr>
        <w:pStyle w:val="ListParagraph"/>
        <w:numPr>
          <w:ilvl w:val="0"/>
          <w:numId w:val="5"/>
        </w:numPr>
        <w:ind w:left="720"/>
      </w:pPr>
      <w:r w:rsidRPr="00CA4D7F">
        <w:rPr>
          <w:b/>
        </w:rPr>
        <w:t>Small</w:t>
      </w:r>
      <w:r w:rsidR="00B2558F" w:rsidRPr="00CA4D7F">
        <w:rPr>
          <w:b/>
        </w:rPr>
        <w:t xml:space="preserve"> </w:t>
      </w:r>
      <w:r w:rsidR="00180521" w:rsidRPr="00CA4D7F">
        <w:rPr>
          <w:b/>
        </w:rPr>
        <w:t>Tightknit C</w:t>
      </w:r>
      <w:r w:rsidRPr="00CA4D7F">
        <w:rPr>
          <w:b/>
        </w:rPr>
        <w:t>ommunities</w:t>
      </w:r>
      <w:r w:rsidR="00CA4D7F">
        <w:t>:</w:t>
      </w:r>
      <w:r w:rsidR="006C45BA">
        <w:t xml:space="preserve"> It can be easier for small comm</w:t>
      </w:r>
      <w:r w:rsidR="00CA4D7F">
        <w:t xml:space="preserve">unities to work together since neighbors tend to know each other better. </w:t>
      </w:r>
      <w:r w:rsidR="00B73227" w:rsidRPr="00180521">
        <w:t xml:space="preserve">In communities where everyone </w:t>
      </w:r>
      <w:r w:rsidR="00CC6C22">
        <w:t>followed COVID-19 recommendations,</w:t>
      </w:r>
      <w:r w:rsidR="00B73227" w:rsidRPr="00180521">
        <w:t xml:space="preserve"> </w:t>
      </w:r>
      <w:r w:rsidR="00CC6C22">
        <w:t>the virus</w:t>
      </w:r>
      <w:r w:rsidR="00B73227" w:rsidRPr="00180521">
        <w:t xml:space="preserve"> was less</w:t>
      </w:r>
      <w:r w:rsidR="00CC6C22">
        <w:t xml:space="preserve"> widespread</w:t>
      </w:r>
      <w:r w:rsidR="00B73227" w:rsidRPr="00180521">
        <w:t xml:space="preserve">. </w:t>
      </w:r>
    </w:p>
    <w:p w14:paraId="7A2F66CF" w14:textId="394ADCE6" w:rsidR="00C1773C" w:rsidRPr="00180521" w:rsidRDefault="00180521" w:rsidP="00CA4D7F">
      <w:pPr>
        <w:pStyle w:val="ListParagraph"/>
        <w:numPr>
          <w:ilvl w:val="0"/>
          <w:numId w:val="5"/>
        </w:numPr>
        <w:ind w:left="720"/>
      </w:pPr>
      <w:r w:rsidRPr="00CA4D7F">
        <w:rPr>
          <w:b/>
        </w:rPr>
        <w:t>Quick R</w:t>
      </w:r>
      <w:r w:rsidR="00C1773C" w:rsidRPr="00CA4D7F">
        <w:rPr>
          <w:b/>
        </w:rPr>
        <w:t>esponse</w:t>
      </w:r>
      <w:r w:rsidR="00CA4D7F">
        <w:t>:</w:t>
      </w:r>
      <w:r w:rsidR="004B234F">
        <w:t xml:space="preserve"> Both t</w:t>
      </w:r>
      <w:r w:rsidR="00B73227" w:rsidRPr="00180521">
        <w:t xml:space="preserve">he state and </w:t>
      </w:r>
      <w:r w:rsidR="004B234F">
        <w:t xml:space="preserve">many </w:t>
      </w:r>
      <w:r w:rsidR="00B73227" w:rsidRPr="00180521">
        <w:t>communities responded very quickly</w:t>
      </w:r>
      <w:r w:rsidR="004B234F">
        <w:t xml:space="preserve"> at the beginning of the COVID-19 pandemic</w:t>
      </w:r>
      <w:r w:rsidR="00B73227" w:rsidRPr="00180521">
        <w:t>. Th</w:t>
      </w:r>
      <w:r w:rsidR="006315F1" w:rsidRPr="00180521">
        <w:t>at quick response prevented the spread and kep</w:t>
      </w:r>
      <w:r w:rsidR="00207276" w:rsidRPr="00180521">
        <w:t xml:space="preserve">t our </w:t>
      </w:r>
      <w:r w:rsidR="00CC6C22">
        <w:t>case numbers low. As long as the coronavirus remains a threat</w:t>
      </w:r>
      <w:r w:rsidR="00207276" w:rsidRPr="00180521">
        <w:t>, responding quickly</w:t>
      </w:r>
      <w:r w:rsidR="00CC6C22">
        <w:t xml:space="preserve"> and appropriately</w:t>
      </w:r>
      <w:r w:rsidR="00207276" w:rsidRPr="00180521">
        <w:t xml:space="preserve"> will continue being </w:t>
      </w:r>
      <w:r w:rsidR="004B234F">
        <w:t>essential</w:t>
      </w:r>
      <w:r w:rsidR="00CA4D7F">
        <w:t xml:space="preserve">. </w:t>
      </w:r>
    </w:p>
    <w:p w14:paraId="07880791" w14:textId="77777777" w:rsidR="008A34E2" w:rsidRPr="00180521" w:rsidRDefault="008A34E2" w:rsidP="008A34E2"/>
    <w:p w14:paraId="0896FC9A" w14:textId="77777777" w:rsidR="008A34E2" w:rsidRPr="00CA4D7F" w:rsidRDefault="00C1773C" w:rsidP="008A34E2">
      <w:pPr>
        <w:rPr>
          <w:b/>
        </w:rPr>
      </w:pPr>
      <w:r w:rsidRPr="00CA4D7F">
        <w:rPr>
          <w:b/>
        </w:rPr>
        <w:t>Risks factors</w:t>
      </w:r>
    </w:p>
    <w:p w14:paraId="236558E5" w14:textId="065C7535" w:rsidR="008A34E2" w:rsidRPr="00180521" w:rsidRDefault="00180521" w:rsidP="00DB5F64">
      <w:pPr>
        <w:pStyle w:val="ListParagraph"/>
        <w:numPr>
          <w:ilvl w:val="0"/>
          <w:numId w:val="2"/>
        </w:numPr>
      </w:pPr>
      <w:r w:rsidRPr="00DB5F64">
        <w:rPr>
          <w:b/>
        </w:rPr>
        <w:t>Access to C</w:t>
      </w:r>
      <w:r w:rsidR="008A34E2" w:rsidRPr="00DB5F64">
        <w:rPr>
          <w:b/>
        </w:rPr>
        <w:t>are</w:t>
      </w:r>
      <w:r w:rsidR="00CA4D7F">
        <w:t>:</w:t>
      </w:r>
      <w:r w:rsidR="00832A5F" w:rsidRPr="00180521">
        <w:t xml:space="preserve"> </w:t>
      </w:r>
      <w:r w:rsidR="00CC6C22">
        <w:t>Since ma</w:t>
      </w:r>
      <w:r w:rsidR="00B2558F">
        <w:t>n</w:t>
      </w:r>
      <w:r w:rsidR="00CC6C22">
        <w:t xml:space="preserve">y Alaskan communities are isolated, </w:t>
      </w:r>
      <w:r w:rsidR="00832A5F" w:rsidRPr="00180521">
        <w:t xml:space="preserve">access to care may be delayed. </w:t>
      </w:r>
      <w:r w:rsidR="00CC6C22">
        <w:t>If</w:t>
      </w:r>
      <w:r w:rsidR="00832A5F" w:rsidRPr="00180521">
        <w:t xml:space="preserve"> COVID-19 does </w:t>
      </w:r>
      <w:r w:rsidR="00CC6C22">
        <w:t>begin to spread in rural communities</w:t>
      </w:r>
      <w:r w:rsidR="007504A4" w:rsidRPr="00180521">
        <w:t>,</w:t>
      </w:r>
      <w:r w:rsidR="00832A5F" w:rsidRPr="00180521">
        <w:t xml:space="preserve"> it can be particularly dangerous since </w:t>
      </w:r>
      <w:r w:rsidR="006C171B" w:rsidRPr="00180521">
        <w:t xml:space="preserve">COVID-19 symptoms can </w:t>
      </w:r>
      <w:r w:rsidR="00CA4D7F">
        <w:t>quickly become severe.</w:t>
      </w:r>
    </w:p>
    <w:p w14:paraId="020FFE78" w14:textId="46210BF0" w:rsidR="0013591E" w:rsidRPr="00180521" w:rsidRDefault="0013591E" w:rsidP="00DB5F64">
      <w:pPr>
        <w:pStyle w:val="ListParagraph"/>
        <w:numPr>
          <w:ilvl w:val="0"/>
          <w:numId w:val="2"/>
        </w:numPr>
      </w:pPr>
      <w:r w:rsidRPr="00DB5F64">
        <w:rPr>
          <w:b/>
        </w:rPr>
        <w:lastRenderedPageBreak/>
        <w:t xml:space="preserve">Vulnerable </w:t>
      </w:r>
      <w:r w:rsidR="00180521" w:rsidRPr="00DB5F64">
        <w:rPr>
          <w:b/>
        </w:rPr>
        <w:t>P</w:t>
      </w:r>
      <w:r w:rsidRPr="00DB5F64">
        <w:rPr>
          <w:b/>
        </w:rPr>
        <w:t>opulation</w:t>
      </w:r>
      <w:r w:rsidR="00CA4D7F">
        <w:t>:</w:t>
      </w:r>
      <w:r w:rsidRPr="00180521">
        <w:t xml:space="preserve"> Alaska has a high rate of people who have</w:t>
      </w:r>
      <w:r w:rsidR="00B2558F">
        <w:t xml:space="preserve"> preexisting</w:t>
      </w:r>
      <w:r w:rsidR="00CA4D7F">
        <w:t xml:space="preserve"> health conditions.  </w:t>
      </w:r>
      <w:r w:rsidRPr="00180521">
        <w:t>People who are older or have certain health conditions like heart or lung disease, are more likely to get seriously sick from COVID-19.</w:t>
      </w:r>
    </w:p>
    <w:p w14:paraId="3AA1FAB1" w14:textId="549D0D15" w:rsidR="0013591E" w:rsidRPr="00180521" w:rsidRDefault="0013591E" w:rsidP="00DB5F64">
      <w:pPr>
        <w:pStyle w:val="ListParagraph"/>
        <w:numPr>
          <w:ilvl w:val="0"/>
          <w:numId w:val="2"/>
        </w:numPr>
      </w:pPr>
      <w:r w:rsidRPr="00DB5F64">
        <w:rPr>
          <w:b/>
        </w:rPr>
        <w:t>Overcrowded/</w:t>
      </w:r>
      <w:r w:rsidR="00180521" w:rsidRPr="00DB5F64">
        <w:rPr>
          <w:b/>
        </w:rPr>
        <w:t>Multigenerational H</w:t>
      </w:r>
      <w:r w:rsidR="008A34E2" w:rsidRPr="00DB5F64">
        <w:rPr>
          <w:b/>
        </w:rPr>
        <w:t>omes</w:t>
      </w:r>
      <w:r w:rsidR="00CA4D7F">
        <w:t>:</w:t>
      </w:r>
      <w:r w:rsidRPr="00180521">
        <w:t xml:space="preserve"> Many homes in Alaska house large families which can make spreading COVID-19 to family members very easy. </w:t>
      </w:r>
    </w:p>
    <w:p w14:paraId="731B1B83" w14:textId="6238A95B" w:rsidR="008A34E2" w:rsidRPr="00180521" w:rsidRDefault="00180521" w:rsidP="00DB5F64">
      <w:pPr>
        <w:pStyle w:val="ListParagraph"/>
        <w:numPr>
          <w:ilvl w:val="0"/>
          <w:numId w:val="2"/>
        </w:numPr>
      </w:pPr>
      <w:r w:rsidRPr="00DB5F64">
        <w:rPr>
          <w:b/>
        </w:rPr>
        <w:t>Access to Water/S</w:t>
      </w:r>
      <w:r w:rsidR="008A34E2" w:rsidRPr="00DB5F64">
        <w:rPr>
          <w:b/>
        </w:rPr>
        <w:t>ewer</w:t>
      </w:r>
      <w:r w:rsidR="00CA4D7F">
        <w:t>:</w:t>
      </w:r>
      <w:r w:rsidR="007504A4" w:rsidRPr="00180521">
        <w:t xml:space="preserve"> Some communities have limited or no access to water and sewer services. In a time where washing your hands frequently is</w:t>
      </w:r>
      <w:r w:rsidR="00707473">
        <w:t xml:space="preserve"> essential</w:t>
      </w:r>
      <w:r w:rsidR="007504A4" w:rsidRPr="00180521">
        <w:t xml:space="preserve">, lack of water and sewer service can make it difficult to prevent the spread of the </w:t>
      </w:r>
      <w:r w:rsidR="00707473">
        <w:t>corona</w:t>
      </w:r>
      <w:r w:rsidR="007504A4" w:rsidRPr="00180521">
        <w:t>virus.</w:t>
      </w:r>
    </w:p>
    <w:p w14:paraId="71FB5ECF" w14:textId="32C5F6BB" w:rsidR="007504A4" w:rsidRPr="00180521" w:rsidRDefault="00CA4D7F" w:rsidP="008A34E2">
      <w:r>
        <w:rPr>
          <w:noProof/>
        </w:rPr>
        <w:drawing>
          <wp:anchor distT="0" distB="0" distL="114300" distR="114300" simplePos="0" relativeHeight="251658240" behindDoc="0" locked="0" layoutInCell="1" allowOverlap="1" wp14:anchorId="165071B8" wp14:editId="02217A89">
            <wp:simplePos x="0" y="0"/>
            <wp:positionH relativeFrom="column">
              <wp:posOffset>3917315</wp:posOffset>
            </wp:positionH>
            <wp:positionV relativeFrom="paragraph">
              <wp:posOffset>59055</wp:posOffset>
            </wp:positionV>
            <wp:extent cx="2757170" cy="1986915"/>
            <wp:effectExtent l="0" t="0" r="5080" b="0"/>
            <wp:wrapSquare wrapText="bothSides"/>
            <wp:docPr id="2" name="Picture 1" descr="File:Flag map of Alaska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map of Alaska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10C88" w14:textId="147B5F04" w:rsidR="00574D89" w:rsidRDefault="00D81F76" w:rsidP="008A34E2">
      <w:r w:rsidRPr="00180521">
        <w:t>Many of Alaska’</w:t>
      </w:r>
      <w:r w:rsidR="00707473">
        <w:t xml:space="preserve">s unique protective factors paired with the widespread </w:t>
      </w:r>
      <w:r w:rsidR="004B234F">
        <w:t>acceptance of</w:t>
      </w:r>
      <w:r w:rsidR="00707473">
        <w:t xml:space="preserve"> COVID-19 recommendations</w:t>
      </w:r>
      <w:r w:rsidR="00CA4D7F">
        <w:t>,</w:t>
      </w:r>
      <w:r w:rsidR="00707473">
        <w:t xml:space="preserve"> like social distancing, wearing masks, and frequent hand washing, have kept our number of COVID-19 cases low. </w:t>
      </w:r>
      <w:r w:rsidRPr="00180521">
        <w:t xml:space="preserve">However, Alaska also has many unique factors that put us at risk for future outbreaks. </w:t>
      </w:r>
      <w:r w:rsidR="00574D89">
        <w:t>The state may be reopening, but COVID-19 continues to be a threat, so it is important for Alaskan’s to continue working together to protect each other.</w:t>
      </w:r>
    </w:p>
    <w:p w14:paraId="32FA9573" w14:textId="77777777" w:rsidR="00574D89" w:rsidRPr="00180521" w:rsidRDefault="00574D89" w:rsidP="008A34E2"/>
    <w:p w14:paraId="524420A9" w14:textId="77777777" w:rsidR="008A34E2" w:rsidRPr="00F23B5A" w:rsidRDefault="00574D89" w:rsidP="00F23B5A">
      <w:pPr>
        <w:tabs>
          <w:tab w:val="left" w:pos="3906"/>
        </w:tabs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Fo</w:t>
      </w:r>
      <w:r w:rsidRPr="00574D89">
        <w:rPr>
          <w:rFonts w:asciiTheme="minorHAnsi" w:hAnsiTheme="minorHAnsi" w:cstheme="minorBidi"/>
        </w:rPr>
        <w:t xml:space="preserve">r more resources, please visit: </w:t>
      </w:r>
      <w:hyperlink r:id="rId6" w:history="1">
        <w:r w:rsidRPr="00574D89">
          <w:rPr>
            <w:rFonts w:asciiTheme="minorHAnsi" w:hAnsiTheme="minorHAnsi" w:cstheme="minorBidi"/>
            <w:color w:val="0000FF"/>
            <w:u w:val="single"/>
          </w:rPr>
          <w:t>http://www.atcemak.com/covid-19-resource-menu-for-communities/</w:t>
        </w:r>
      </w:hyperlink>
      <w:r w:rsidRPr="00574D89">
        <w:rPr>
          <w:rFonts w:asciiTheme="minorHAnsi" w:hAnsiTheme="minorHAnsi" w:cstheme="minorBidi"/>
        </w:rPr>
        <w:t xml:space="preserve"> or contact the ANTHC Environmental Health Program at (907) 729-4043 or ceh@anthc.org.</w:t>
      </w:r>
      <w:r w:rsidRPr="00574D89">
        <w:rPr>
          <w:rFonts w:asciiTheme="minorHAnsi" w:hAnsiTheme="minorHAnsi" w:cstheme="minorBidi"/>
          <w:noProof/>
        </w:rPr>
        <w:t xml:space="preserve"> </w:t>
      </w:r>
    </w:p>
    <w:sectPr w:rsidR="008A34E2" w:rsidRPr="00F2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25A"/>
    <w:multiLevelType w:val="hybridMultilevel"/>
    <w:tmpl w:val="D032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404B4"/>
    <w:multiLevelType w:val="hybridMultilevel"/>
    <w:tmpl w:val="4CCA7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177418"/>
    <w:multiLevelType w:val="hybridMultilevel"/>
    <w:tmpl w:val="11822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422C5D"/>
    <w:multiLevelType w:val="hybridMultilevel"/>
    <w:tmpl w:val="6EAE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F6434"/>
    <w:multiLevelType w:val="hybridMultilevel"/>
    <w:tmpl w:val="B4F25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A4"/>
    <w:rsid w:val="000E44D2"/>
    <w:rsid w:val="0013591E"/>
    <w:rsid w:val="00172BA1"/>
    <w:rsid w:val="00180521"/>
    <w:rsid w:val="00207276"/>
    <w:rsid w:val="002B2595"/>
    <w:rsid w:val="004B234F"/>
    <w:rsid w:val="0052444E"/>
    <w:rsid w:val="00574D89"/>
    <w:rsid w:val="0057697D"/>
    <w:rsid w:val="006315F1"/>
    <w:rsid w:val="006532E6"/>
    <w:rsid w:val="006C171B"/>
    <w:rsid w:val="006C45BA"/>
    <w:rsid w:val="00707473"/>
    <w:rsid w:val="007504A4"/>
    <w:rsid w:val="00790568"/>
    <w:rsid w:val="00832A5F"/>
    <w:rsid w:val="008A34E2"/>
    <w:rsid w:val="00B2558F"/>
    <w:rsid w:val="00B73227"/>
    <w:rsid w:val="00C1773C"/>
    <w:rsid w:val="00CA4D7F"/>
    <w:rsid w:val="00CC6C22"/>
    <w:rsid w:val="00CF3F52"/>
    <w:rsid w:val="00D24E46"/>
    <w:rsid w:val="00D81F76"/>
    <w:rsid w:val="00DB5F64"/>
    <w:rsid w:val="00F23B5A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6209"/>
  <w15:chartTrackingRefBased/>
  <w15:docId w15:val="{373B15F4-12EE-4C63-B51E-11BDFEB9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B5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B5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2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cemak.com/covid-19-resource-menu-for-communit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Mary C</dc:creator>
  <cp:keywords/>
  <dc:description/>
  <cp:lastModifiedBy>O'domin, Oxcenia R</cp:lastModifiedBy>
  <cp:revision>2</cp:revision>
  <dcterms:created xsi:type="dcterms:W3CDTF">2020-06-03T18:28:00Z</dcterms:created>
  <dcterms:modified xsi:type="dcterms:W3CDTF">2020-06-03T18:28:00Z</dcterms:modified>
</cp:coreProperties>
</file>