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328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1631"/>
        <w:gridCol w:w="1339"/>
        <w:gridCol w:w="1049"/>
        <w:gridCol w:w="2388"/>
        <w:gridCol w:w="1693"/>
        <w:gridCol w:w="3083"/>
      </w:tblGrid>
      <w:tr w:rsidR="0091405F" w:rsidRPr="0091405F" w:rsidTr="006D749D">
        <w:trPr>
          <w:trHeight w:val="350"/>
        </w:trPr>
        <w:tc>
          <w:tcPr>
            <w:tcW w:w="14328" w:type="dxa"/>
            <w:gridSpan w:val="8"/>
            <w:tcBorders>
              <w:bottom w:val="single" w:sz="18" w:space="0" w:color="FFFFFF"/>
            </w:tcBorders>
            <w:shd w:val="clear" w:color="auto" w:fill="000000" w:themeFill="text1"/>
          </w:tcPr>
          <w:p w:rsidR="0091405F" w:rsidRPr="0091405F" w:rsidRDefault="0091405F" w:rsidP="006D749D">
            <w:pPr>
              <w:shd w:val="clear" w:color="auto" w:fill="000000"/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91405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ANMC Pediatric Acute </w:t>
            </w:r>
            <w:proofErr w:type="spellStart"/>
            <w:r w:rsidRPr="0091405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>Hematogenous</w:t>
            </w:r>
            <w:proofErr w:type="spellEnd"/>
            <w:r w:rsidRPr="0091405F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Septic Arthritis/Osteomyelitis Guideline</w:t>
            </w:r>
          </w:p>
        </w:tc>
      </w:tr>
      <w:tr w:rsidR="006D749D" w:rsidRPr="0091405F" w:rsidTr="00C0204D">
        <w:trPr>
          <w:trHeight w:val="218"/>
        </w:trPr>
        <w:tc>
          <w:tcPr>
            <w:tcW w:w="4776" w:type="dxa"/>
            <w:gridSpan w:val="3"/>
            <w:tcBorders>
              <w:top w:val="single" w:sz="18" w:space="0" w:color="FFFFFF"/>
              <w:bottom w:val="single" w:sz="4" w:space="0" w:color="auto"/>
            </w:tcBorders>
            <w:shd w:val="clear" w:color="auto" w:fill="000000" w:themeFill="text1"/>
          </w:tcPr>
          <w:p w:rsidR="006D749D" w:rsidRPr="0091405F" w:rsidRDefault="001B795C" w:rsidP="006D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24"/>
              </w:rPr>
              <w:t xml:space="preserve">Signs and </w:t>
            </w:r>
            <w:r w:rsidR="006D749D" w:rsidRPr="0091405F">
              <w:rPr>
                <w:rFonts w:ascii="Arial" w:eastAsia="Times New Roman" w:hAnsi="Arial" w:cs="Arial"/>
                <w:b/>
                <w:color w:val="FFFFFF"/>
                <w:kern w:val="24"/>
              </w:rPr>
              <w:t>Symptoms</w:t>
            </w:r>
          </w:p>
        </w:tc>
        <w:tc>
          <w:tcPr>
            <w:tcW w:w="4776" w:type="dxa"/>
            <w:gridSpan w:val="3"/>
            <w:tcBorders>
              <w:top w:val="single" w:sz="18" w:space="0" w:color="FFFFFF"/>
              <w:bottom w:val="single" w:sz="4" w:space="0" w:color="auto"/>
            </w:tcBorders>
            <w:shd w:val="clear" w:color="auto" w:fill="000000" w:themeFill="text1"/>
          </w:tcPr>
          <w:p w:rsidR="006D749D" w:rsidRPr="0091405F" w:rsidRDefault="006D749D" w:rsidP="006D7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4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Cs w:val="28"/>
              </w:rPr>
              <w:t>Initial Work Up</w:t>
            </w:r>
          </w:p>
        </w:tc>
        <w:tc>
          <w:tcPr>
            <w:tcW w:w="4776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000000" w:themeFill="text1"/>
          </w:tcPr>
          <w:p w:rsidR="006D749D" w:rsidRPr="0091405F" w:rsidRDefault="006D749D" w:rsidP="00CE7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kern w:val="24"/>
                <w:szCs w:val="24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kern w:val="24"/>
              </w:rPr>
              <w:t xml:space="preserve">Kocher </w:t>
            </w:r>
            <w:r w:rsidR="00CE78F6">
              <w:rPr>
                <w:rFonts w:ascii="Arial" w:eastAsia="Times New Roman" w:hAnsi="Arial" w:cs="Arial"/>
                <w:b/>
                <w:color w:val="FFFFFF"/>
                <w:kern w:val="24"/>
              </w:rPr>
              <w:t>Score</w:t>
            </w:r>
            <w:r w:rsidRPr="0091405F">
              <w:rPr>
                <w:rFonts w:ascii="Arial" w:eastAsia="Times New Roman" w:hAnsi="Arial" w:cs="Arial"/>
                <w:b/>
                <w:color w:val="FFFFFF"/>
                <w:kern w:val="24"/>
              </w:rPr>
              <w:t xml:space="preserve"> for Septic Arthritis</w:t>
            </w:r>
            <w:r w:rsidRPr="0091405F">
              <w:rPr>
                <w:rFonts w:ascii="Arial" w:eastAsia="Times New Roman" w:hAnsi="Arial" w:cs="Arial"/>
                <w:b/>
                <w:noProof/>
                <w:color w:val="FFFFFF"/>
                <w:kern w:val="24"/>
              </w:rPr>
              <w:t xml:space="preserve"> </w:t>
            </w:r>
            <w:r w:rsidRPr="0091405F">
              <w:rPr>
                <w:rFonts w:ascii="Arial" w:eastAsia="Times New Roman" w:hAnsi="Arial" w:cs="Arial"/>
                <w:b/>
                <w:noProof/>
                <w:color w:val="FFFFFF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E1D3B6" wp14:editId="6183B1F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7852410</wp:posOffset>
                      </wp:positionV>
                      <wp:extent cx="4000500" cy="553720"/>
                      <wp:effectExtent l="0" t="0" r="0" b="0"/>
                      <wp:wrapNone/>
                      <wp:docPr id="3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53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749D" w:rsidRDefault="006D749D" w:rsidP="0091405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91405F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Reference: Roberts KB. Urinary tract infection: clinical practice guideline for the diagnosis and management of the initial UTI in febrile infants and children 2 to 24 months. Pediatrics. 2011;128(3):595-610.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E1D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26" type="#_x0000_t202" style="position:absolute;left:0;text-align:left;margin-left:10.5pt;margin-top:618.3pt;width:315pt;height:4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" filled="f" stroked="f">
                      <v:textbox style="mso-fit-shape-to-text:t">
                        <w:txbxContent>
                          <w:p w:rsidR="006D749D" w:rsidRDefault="006D749D" w:rsidP="009140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1405F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Reference: Roberts KB. Urinary tract infection: clinical practice guideline for the diagnosis and management of the initial UTI in febrile infants and children 2 to 24 months. Pediatrics. 2011</w:t>
                            </w:r>
                            <w:proofErr w:type="gramStart"/>
                            <w:r w:rsidRPr="0091405F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;128</w:t>
                            </w:r>
                            <w:proofErr w:type="gramEnd"/>
                            <w:r w:rsidRPr="0091405F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(3):595-610.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05F">
              <w:rPr>
                <w:rFonts w:ascii="Arial" w:eastAsia="Times New Roman" w:hAnsi="Arial" w:cs="Arial"/>
                <w:b/>
                <w:noProof/>
                <w:color w:val="FFFFFF"/>
                <w:kern w:val="24"/>
              </w:rPr>
              <w:drawing>
                <wp:anchor distT="0" distB="0" distL="114300" distR="114300" simplePos="0" relativeHeight="251669504" behindDoc="0" locked="0" layoutInCell="1" allowOverlap="1" wp14:anchorId="144F9AE4" wp14:editId="4CF5D2D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7395210</wp:posOffset>
                  </wp:positionV>
                  <wp:extent cx="5943600" cy="291465"/>
                  <wp:effectExtent l="0" t="0" r="0" b="0"/>
                  <wp:wrapNone/>
                  <wp:docPr id="5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49D" w:rsidRPr="0091405F" w:rsidTr="00C0204D">
        <w:trPr>
          <w:trHeight w:val="1133"/>
        </w:trPr>
        <w:tc>
          <w:tcPr>
            <w:tcW w:w="47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72D1F" w:rsidRDefault="006D749D" w:rsidP="00772D1F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2D1F">
              <w:rPr>
                <w:rFonts w:ascii="Arial" w:eastAsia="Calibri" w:hAnsi="Arial" w:cs="Arial"/>
                <w:sz w:val="18"/>
                <w:szCs w:val="18"/>
              </w:rPr>
              <w:t>Fever</w:t>
            </w:r>
          </w:p>
          <w:p w:rsidR="00772D1F" w:rsidRDefault="006D749D" w:rsidP="00772D1F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2D1F">
              <w:rPr>
                <w:rFonts w:ascii="Arial" w:eastAsia="Calibri" w:hAnsi="Arial" w:cs="Arial"/>
                <w:sz w:val="18"/>
                <w:szCs w:val="18"/>
              </w:rPr>
              <w:t>Joint warmth, swelling, and/or tenderness</w:t>
            </w:r>
          </w:p>
          <w:p w:rsidR="00C0204D" w:rsidRDefault="00C0204D" w:rsidP="00C0204D">
            <w:pPr>
              <w:pStyle w:val="ListParagraph"/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1405F">
              <w:rPr>
                <w:rFonts w:ascii="Arial" w:eastAsia="Calibri" w:hAnsi="Arial" w:cs="Arial"/>
                <w:sz w:val="18"/>
                <w:szCs w:val="18"/>
              </w:rPr>
              <w:t>Frequency: Knee&gt;hip&gt;ankle&gt;elbow=shoulder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772D1F" w:rsidRDefault="006D749D" w:rsidP="00772D1F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2D1F">
              <w:rPr>
                <w:rFonts w:ascii="Arial" w:eastAsia="Calibri" w:hAnsi="Arial" w:cs="Arial"/>
                <w:sz w:val="18"/>
                <w:szCs w:val="18"/>
              </w:rPr>
              <w:t>Refusal to bear weight or range extremity</w:t>
            </w:r>
          </w:p>
          <w:p w:rsidR="006D749D" w:rsidRPr="00C0204D" w:rsidRDefault="006D749D" w:rsidP="00C0204D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2D1F">
              <w:rPr>
                <w:rFonts w:ascii="Arial" w:eastAsia="Calibri" w:hAnsi="Arial" w:cs="Arial"/>
                <w:sz w:val="18"/>
                <w:szCs w:val="18"/>
              </w:rPr>
              <w:t>Pseudo-paralysis in infants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E78F6" w:rsidRDefault="00CE78F6" w:rsidP="006D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Labs: </w:t>
            </w:r>
          </w:p>
          <w:p w:rsidR="0076575C" w:rsidRDefault="00CE78F6" w:rsidP="00C02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78F6">
              <w:rPr>
                <w:rFonts w:ascii="Arial" w:eastAsia="Times New Roman" w:hAnsi="Arial" w:cs="Arial"/>
                <w:sz w:val="18"/>
                <w:szCs w:val="18"/>
              </w:rPr>
              <w:t>CBC</w:t>
            </w:r>
            <w:r w:rsidR="00C0204D">
              <w:rPr>
                <w:rFonts w:ascii="Arial" w:eastAsia="Times New Roman" w:hAnsi="Arial" w:cs="Arial"/>
                <w:sz w:val="18"/>
                <w:szCs w:val="18"/>
              </w:rPr>
              <w:t>, ESR, CRP</w:t>
            </w:r>
          </w:p>
          <w:p w:rsidR="0076575C" w:rsidRPr="0076575C" w:rsidRDefault="0076575C" w:rsidP="00351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75C">
              <w:rPr>
                <w:rFonts w:ascii="Arial" w:eastAsia="Times New Roman" w:hAnsi="Arial" w:cs="Arial"/>
                <w:sz w:val="18"/>
                <w:szCs w:val="18"/>
              </w:rPr>
              <w:t>Blood culture if non-weight bearing and febrile</w:t>
            </w:r>
          </w:p>
          <w:p w:rsidR="00C0204D" w:rsidRDefault="00C0204D" w:rsidP="00C02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78F6" w:rsidRPr="00575FFF" w:rsidRDefault="00CE78F6" w:rsidP="00C020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75C">
              <w:rPr>
                <w:rFonts w:ascii="Arial" w:eastAsia="Times New Roman" w:hAnsi="Arial" w:cs="Arial"/>
                <w:sz w:val="18"/>
                <w:szCs w:val="18"/>
              </w:rPr>
              <w:t xml:space="preserve">Radiology: </w:t>
            </w:r>
            <w:r w:rsidR="00C0204D">
              <w:rPr>
                <w:rFonts w:ascii="Arial" w:eastAsia="Times New Roman" w:hAnsi="Arial" w:cs="Arial"/>
                <w:sz w:val="18"/>
                <w:szCs w:val="18"/>
              </w:rPr>
              <w:t>X-R</w:t>
            </w:r>
            <w:r w:rsidRPr="0076575C">
              <w:rPr>
                <w:rFonts w:ascii="Arial" w:eastAsia="Times New Roman" w:hAnsi="Arial" w:cs="Arial"/>
                <w:sz w:val="18"/>
                <w:szCs w:val="18"/>
              </w:rPr>
              <w:t>ays of the affected area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D749D" w:rsidRPr="0091405F" w:rsidRDefault="006D749D" w:rsidP="006D749D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</w:rPr>
              <w:t>Assign 1 point each:</w:t>
            </w:r>
          </w:p>
          <w:p w:rsidR="006D749D" w:rsidRPr="0091405F" w:rsidRDefault="006D749D" w:rsidP="006D749D">
            <w:pPr>
              <w:numPr>
                <w:ilvl w:val="0"/>
                <w:numId w:val="1"/>
              </w:numPr>
              <w:spacing w:before="20"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Non-weight bearing</w:t>
            </w:r>
          </w:p>
          <w:p w:rsidR="006D749D" w:rsidRPr="0091405F" w:rsidRDefault="006D749D" w:rsidP="006D749D">
            <w:pPr>
              <w:numPr>
                <w:ilvl w:val="0"/>
                <w:numId w:val="1"/>
              </w:numPr>
              <w:spacing w:before="20"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Temperature &gt;</w:t>
            </w:r>
            <w:r w:rsidR="00CE78F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101.3F (</w:t>
            </w: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38.5 C</w:t>
            </w:r>
            <w:r w:rsidR="00CE78F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)</w:t>
            </w:r>
          </w:p>
          <w:p w:rsidR="006D749D" w:rsidRPr="0091405F" w:rsidRDefault="006D749D" w:rsidP="006D749D">
            <w:pPr>
              <w:numPr>
                <w:ilvl w:val="0"/>
                <w:numId w:val="1"/>
              </w:numPr>
              <w:spacing w:before="20"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ESR &gt;40mm/</w:t>
            </w:r>
            <w:proofErr w:type="spellStart"/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hr</w:t>
            </w:r>
            <w:proofErr w:type="spellEnd"/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="00CE78F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or CRP &gt;2.0 mg/</w:t>
            </w:r>
            <w:proofErr w:type="spellStart"/>
            <w:r w:rsidR="00CE78F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dL</w:t>
            </w:r>
            <w:proofErr w:type="spellEnd"/>
          </w:p>
          <w:p w:rsidR="006D749D" w:rsidRPr="00575FFF" w:rsidRDefault="006D749D" w:rsidP="006D749D">
            <w:pPr>
              <w:numPr>
                <w:ilvl w:val="0"/>
                <w:numId w:val="1"/>
              </w:numPr>
              <w:spacing w:before="20"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Peripheral WBC &gt;12,000 cells/mm</w:t>
            </w: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vertAlign w:val="superscript"/>
              </w:rPr>
              <w:t>3</w:t>
            </w:r>
          </w:p>
        </w:tc>
      </w:tr>
      <w:tr w:rsidR="00FC321C" w:rsidRPr="0091405F" w:rsidTr="00096B42">
        <w:trPr>
          <w:trHeight w:val="218"/>
        </w:trPr>
        <w:tc>
          <w:tcPr>
            <w:tcW w:w="14328" w:type="dxa"/>
            <w:gridSpan w:val="8"/>
            <w:shd w:val="clear" w:color="auto" w:fill="000000" w:themeFill="text1"/>
          </w:tcPr>
          <w:p w:rsidR="00FC321C" w:rsidRPr="0091405F" w:rsidRDefault="00FC321C" w:rsidP="00FC321C">
            <w:pPr>
              <w:shd w:val="clear" w:color="auto" w:fill="000000" w:themeFill="text1"/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kern w:val="24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24"/>
                <w:szCs w:val="24"/>
              </w:rPr>
              <w:t>Kocher Score Interpretation</w:t>
            </w:r>
          </w:p>
        </w:tc>
      </w:tr>
      <w:tr w:rsidR="002F0C39" w:rsidRPr="002F0C39" w:rsidTr="00C0204D">
        <w:trPr>
          <w:trHeight w:val="260"/>
        </w:trPr>
        <w:tc>
          <w:tcPr>
            <w:tcW w:w="3145" w:type="dxa"/>
            <w:gridSpan w:val="2"/>
            <w:shd w:val="clear" w:color="auto" w:fill="2E74B5" w:themeFill="accent1" w:themeFillShade="BF"/>
          </w:tcPr>
          <w:p w:rsidR="00473E71" w:rsidRPr="002F0C39" w:rsidRDefault="00473E71" w:rsidP="00C0204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kern w:val="24"/>
              </w:rPr>
            </w:pPr>
            <w:r w:rsidRPr="002F0C39">
              <w:rPr>
                <w:rFonts w:ascii="Arial" w:eastAsia="Times New Roman" w:hAnsi="Arial" w:cs="Arial"/>
                <w:b/>
                <w:noProof/>
                <w:color w:val="FFFFFF" w:themeColor="background1"/>
                <w:kern w:val="24"/>
              </w:rPr>
              <w:t xml:space="preserve">Risk of Septic Arthritis </w:t>
            </w:r>
          </w:p>
        </w:tc>
        <w:tc>
          <w:tcPr>
            <w:tcW w:w="11183" w:type="dxa"/>
            <w:gridSpan w:val="6"/>
            <w:shd w:val="clear" w:color="auto" w:fill="2E74B5" w:themeFill="accent1" w:themeFillShade="BF"/>
          </w:tcPr>
          <w:p w:rsidR="00473E71" w:rsidRPr="002F0C39" w:rsidRDefault="002F0C3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4"/>
              </w:rPr>
            </w:pPr>
            <w:r w:rsidRPr="002F0C39">
              <w:rPr>
                <w:rFonts w:ascii="Arial" w:eastAsia="Times New Roman" w:hAnsi="Arial" w:cs="Arial"/>
                <w:b/>
                <w:color w:val="FFFFFF" w:themeColor="background1"/>
                <w:kern w:val="24"/>
              </w:rPr>
              <w:t>Initial Management of Kocher Score ≥2</w:t>
            </w:r>
          </w:p>
        </w:tc>
      </w:tr>
      <w:tr w:rsidR="002F0C39" w:rsidRPr="0091405F" w:rsidTr="00B11319">
        <w:trPr>
          <w:trHeight w:val="1232"/>
        </w:trPr>
        <w:tc>
          <w:tcPr>
            <w:tcW w:w="3145" w:type="dxa"/>
            <w:gridSpan w:val="2"/>
            <w:shd w:val="clear" w:color="auto" w:fill="DEEAF6" w:themeFill="accent1" w:themeFillTint="33"/>
          </w:tcPr>
          <w:p w:rsidR="002F0C39" w:rsidRPr="00CE78F6" w:rsidRDefault="002F0C3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</w:rPr>
            </w:pPr>
            <w:r w:rsidRPr="00CE78F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u w:val="single"/>
              </w:rPr>
              <w:t>Score = Risk of Septic Arthritis:</w:t>
            </w:r>
          </w:p>
          <w:p w:rsidR="002F0C39" w:rsidRDefault="00B1131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 =   3%</w:t>
            </w:r>
          </w:p>
          <w:p w:rsidR="002F0C39" w:rsidRDefault="002F0C3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 = 40%</w:t>
            </w:r>
          </w:p>
          <w:p w:rsidR="002F0C39" w:rsidRDefault="002F0C3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 = 93%</w:t>
            </w:r>
          </w:p>
          <w:p w:rsidR="002F0C39" w:rsidRPr="00B11319" w:rsidRDefault="002F0C39" w:rsidP="00B1131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 = 99%</w:t>
            </w:r>
          </w:p>
        </w:tc>
        <w:tc>
          <w:tcPr>
            <w:tcW w:w="11183" w:type="dxa"/>
            <w:gridSpan w:val="6"/>
            <w:vMerge w:val="restart"/>
            <w:shd w:val="clear" w:color="auto" w:fill="DEEAF6" w:themeFill="accent1" w:themeFillTint="33"/>
          </w:tcPr>
          <w:p w:rsidR="0009112C" w:rsidRPr="00B11319" w:rsidRDefault="0009112C" w:rsidP="0009112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24"/>
                <w:sz w:val="18"/>
                <w:szCs w:val="18"/>
              </w:rPr>
            </w:pPr>
            <w:r w:rsidRPr="00B11319">
              <w:rPr>
                <w:rFonts w:ascii="Arial" w:eastAsia="Times New Roman" w:hAnsi="Arial" w:cs="Arial"/>
                <w:b/>
                <w:i/>
                <w:color w:val="000000"/>
                <w:kern w:val="24"/>
                <w:sz w:val="18"/>
                <w:szCs w:val="18"/>
              </w:rPr>
              <w:t>Urgent diagnosis and management is critical to prevent long-term joint damage.</w:t>
            </w:r>
          </w:p>
          <w:p w:rsidR="002F0C39" w:rsidRDefault="002F0C39" w:rsidP="00473E71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Make NPO and start IV fluids</w:t>
            </w:r>
          </w:p>
          <w:p w:rsidR="002F0C39" w:rsidRDefault="002F0C39" w:rsidP="00473E71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Collect blood culture if not already obtained</w:t>
            </w:r>
          </w:p>
          <w:p w:rsidR="002F0C39" w:rsidRPr="002F0C39" w:rsidRDefault="002F0C39" w:rsidP="00473E71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Consult orthopedics </w:t>
            </w:r>
            <w:r w:rsidRPr="00473E71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</w:rPr>
              <w:t>immediately</w:t>
            </w:r>
          </w:p>
          <w:p w:rsidR="000833A4" w:rsidRDefault="000833A4" w:rsidP="000833A4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STAT MRI* with contrast of wide region of suspicion</w:t>
            </w:r>
          </w:p>
          <w:p w:rsidR="000833A4" w:rsidRDefault="000833A4" w:rsidP="000833A4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Aspiration considered for joint effusion</w:t>
            </w:r>
          </w:p>
          <w:p w:rsidR="000833A4" w:rsidRDefault="001B795C" w:rsidP="000833A4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0833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Surgical drainage considered for: sub-periosteal abscess, intramedullary abscess, soft tissue abscess or necrotizing fasciitis, septic joint</w:t>
            </w:r>
            <w:r w:rsidR="00575FFF" w:rsidRPr="000833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.  </w:t>
            </w:r>
          </w:p>
          <w:p w:rsidR="000833A4" w:rsidRDefault="000833A4" w:rsidP="000833A4">
            <w:pPr>
              <w:pStyle w:val="ListParagraph"/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  <w:t xml:space="preserve">   -</w:t>
            </w:r>
            <w:r w:rsidRPr="00575FFF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If NO SURGERY: consider needle aspiration of joint effusion or area of osteomyelitis</w:t>
            </w:r>
          </w:p>
          <w:p w:rsidR="000833A4" w:rsidRPr="000833A4" w:rsidRDefault="00575FFF" w:rsidP="000833A4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0833A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Send sample for cell count, gram stain, and culture. </w:t>
            </w:r>
            <w:r w:rsidRPr="000833A4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795C" w:rsidRPr="000833A4" w:rsidRDefault="00575FFF" w:rsidP="000833A4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 w:rsidRPr="000833A4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  <w:t>Initiate</w:t>
            </w:r>
            <w:r w:rsidR="000833A4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  <w:t xml:space="preserve"> empiric</w:t>
            </w:r>
            <w:r w:rsidRPr="000833A4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  <w:t xml:space="preserve"> antibiotics as soon as culture is obtained.  </w:t>
            </w:r>
          </w:p>
          <w:p w:rsidR="0009112C" w:rsidRDefault="0009112C" w:rsidP="0009112C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Admit to the hospital including infectious disease consult</w:t>
            </w:r>
          </w:p>
          <w:p w:rsidR="000833A4" w:rsidRDefault="000833A4" w:rsidP="0009112C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Narrow to targeted antibiotic therapy based on specimen results</w:t>
            </w:r>
          </w:p>
          <w:p w:rsidR="00B11319" w:rsidRPr="0009112C" w:rsidRDefault="00B11319" w:rsidP="00B11319">
            <w:pPr>
              <w:pStyle w:val="ListParagraph"/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2F0C39" w:rsidRPr="0091405F" w:rsidTr="00C0204D">
        <w:trPr>
          <w:trHeight w:val="267"/>
        </w:trPr>
        <w:tc>
          <w:tcPr>
            <w:tcW w:w="3145" w:type="dxa"/>
            <w:gridSpan w:val="2"/>
            <w:shd w:val="clear" w:color="auto" w:fill="2E74B5" w:themeFill="accent1" w:themeFillShade="BF"/>
          </w:tcPr>
          <w:p w:rsidR="002F0C39" w:rsidRPr="002F0C39" w:rsidRDefault="002F0C39" w:rsidP="002F0C3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kern w:val="24"/>
              </w:rPr>
            </w:pPr>
            <w:r w:rsidRPr="002F0C39">
              <w:rPr>
                <w:rFonts w:ascii="Arial" w:eastAsia="Times New Roman" w:hAnsi="Arial" w:cs="Arial"/>
                <w:b/>
                <w:noProof/>
                <w:color w:val="FFFFFF" w:themeColor="background1"/>
                <w:kern w:val="24"/>
              </w:rPr>
              <w:t>Initi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kern w:val="24"/>
              </w:rPr>
              <w:t>al Management of Kocher Score ≤</w:t>
            </w:r>
            <w:r w:rsidRPr="002F0C39">
              <w:rPr>
                <w:rFonts w:ascii="Arial" w:eastAsia="Times New Roman" w:hAnsi="Arial" w:cs="Arial"/>
                <w:b/>
                <w:noProof/>
                <w:color w:val="FFFFFF" w:themeColor="background1"/>
                <w:kern w:val="24"/>
              </w:rPr>
              <w:t>1</w:t>
            </w:r>
          </w:p>
        </w:tc>
        <w:tc>
          <w:tcPr>
            <w:tcW w:w="11183" w:type="dxa"/>
            <w:gridSpan w:val="6"/>
            <w:vMerge/>
            <w:shd w:val="clear" w:color="auto" w:fill="E7E6E6" w:themeFill="background2"/>
          </w:tcPr>
          <w:p w:rsidR="002F0C39" w:rsidRPr="00473E71" w:rsidRDefault="002F0C39" w:rsidP="00473E71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09112C" w:rsidRPr="0091405F" w:rsidTr="00C0204D">
        <w:trPr>
          <w:trHeight w:val="1250"/>
        </w:trPr>
        <w:tc>
          <w:tcPr>
            <w:tcW w:w="3145" w:type="dxa"/>
            <w:gridSpan w:val="2"/>
            <w:vMerge w:val="restart"/>
            <w:shd w:val="clear" w:color="auto" w:fill="DEEAF6" w:themeFill="accent1" w:themeFillTint="33"/>
          </w:tcPr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>Candidate for close outpatient observation</w:t>
            </w:r>
          </w:p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</w:p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  <w:r w:rsidRPr="0076575C"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>Ibuprofen 10 mg/kg q6h PRN pain</w:t>
            </w:r>
          </w:p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</w:p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  <w:r w:rsidRPr="0076575C"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>Re</w:t>
            </w:r>
            <w:r w:rsidR="00C0204D"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 xml:space="preserve">peat workup if no improvement or </w:t>
            </w:r>
            <w:r w:rsidRPr="0076575C"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>wosening in 2-3</w:t>
            </w:r>
            <w:r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 xml:space="preserve">  </w:t>
            </w:r>
            <w:r w:rsidRPr="0076575C"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  <w:t>days</w:t>
            </w:r>
          </w:p>
        </w:tc>
        <w:tc>
          <w:tcPr>
            <w:tcW w:w="11183" w:type="dxa"/>
            <w:gridSpan w:val="6"/>
            <w:vMerge/>
            <w:shd w:val="clear" w:color="auto" w:fill="E7E6E6" w:themeFill="background2"/>
          </w:tcPr>
          <w:p w:rsidR="0009112C" w:rsidRPr="00473E71" w:rsidRDefault="0009112C" w:rsidP="00473E71">
            <w:pPr>
              <w:pStyle w:val="ListParagraph"/>
              <w:numPr>
                <w:ilvl w:val="0"/>
                <w:numId w:val="8"/>
              </w:num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</w:p>
        </w:tc>
      </w:tr>
      <w:tr w:rsidR="0009112C" w:rsidRPr="0091405F" w:rsidTr="00B11319">
        <w:trPr>
          <w:trHeight w:val="215"/>
        </w:trPr>
        <w:tc>
          <w:tcPr>
            <w:tcW w:w="3145" w:type="dxa"/>
            <w:gridSpan w:val="2"/>
            <w:vMerge/>
            <w:shd w:val="clear" w:color="auto" w:fill="DEEAF6" w:themeFill="accent1" w:themeFillTint="33"/>
          </w:tcPr>
          <w:p w:rsidR="0009112C" w:rsidRDefault="0009112C" w:rsidP="002F0C39">
            <w:pPr>
              <w:spacing w:before="20" w:after="0" w:line="240" w:lineRule="auto"/>
              <w:rPr>
                <w:rFonts w:ascii="Arial" w:eastAsia="Times New Roman" w:hAnsi="Arial" w:cs="Arial"/>
                <w:noProof/>
                <w:kern w:val="24"/>
                <w:sz w:val="18"/>
                <w:szCs w:val="18"/>
              </w:rPr>
            </w:pPr>
          </w:p>
        </w:tc>
        <w:tc>
          <w:tcPr>
            <w:tcW w:w="11183" w:type="dxa"/>
            <w:gridSpan w:val="6"/>
            <w:shd w:val="clear" w:color="auto" w:fill="DEEAF6" w:themeFill="accent1" w:themeFillTint="33"/>
          </w:tcPr>
          <w:p w:rsidR="00886B2E" w:rsidRDefault="00C0204D" w:rsidP="00886B2E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Synovial fluid WBC Counts Typically Seen in Septic Arthritis: </w:t>
            </w:r>
          </w:p>
          <w:p w:rsidR="0009112C" w:rsidRPr="00473E71" w:rsidRDefault="00886B2E" w:rsidP="00886B2E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        </w:t>
            </w:r>
            <w:r w:rsidR="00C0204D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&gt;25,000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cells/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microL</w:t>
            </w:r>
            <w:proofErr w:type="spellEnd"/>
            <w:r w:rsidR="00C0204D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(hip), &gt;50,000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cells/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microL</w:t>
            </w:r>
            <w:proofErr w:type="spellEnd"/>
            <w:r w:rsidR="00C0204D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(all other joints)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; PMN predominance</w:t>
            </w:r>
          </w:p>
        </w:tc>
      </w:tr>
      <w:tr w:rsidR="00575FFF" w:rsidRPr="0091405F" w:rsidTr="0091405F">
        <w:trPr>
          <w:trHeight w:val="268"/>
        </w:trPr>
        <w:tc>
          <w:tcPr>
            <w:tcW w:w="14328" w:type="dxa"/>
            <w:gridSpan w:val="8"/>
            <w:shd w:val="clear" w:color="auto" w:fill="000000"/>
          </w:tcPr>
          <w:p w:rsidR="00575FFF" w:rsidRDefault="00575FFF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kern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24"/>
              </w:rPr>
              <w:t>Antibiotic Selection</w:t>
            </w:r>
          </w:p>
        </w:tc>
      </w:tr>
      <w:tr w:rsidR="00FC321C" w:rsidRPr="0091405F" w:rsidTr="0091405F">
        <w:trPr>
          <w:trHeight w:val="268"/>
        </w:trPr>
        <w:tc>
          <w:tcPr>
            <w:tcW w:w="14328" w:type="dxa"/>
            <w:gridSpan w:val="8"/>
            <w:shd w:val="clear" w:color="auto" w:fill="000000"/>
          </w:tcPr>
          <w:p w:rsidR="00FC321C" w:rsidRPr="006D749D" w:rsidRDefault="00FC321C" w:rsidP="00FC3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</w:pPr>
            <w:r w:rsidRPr="006D749D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</w:rPr>
              <w:t xml:space="preserve">Common Organisms: </w:t>
            </w:r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Staphylococcus aureus, </w:t>
            </w:r>
            <w:r w:rsidRPr="006D749D">
              <w:rPr>
                <w:rFonts w:ascii="Arial" w:eastAsia="Times New Roman" w:hAnsi="Arial" w:cs="Arial"/>
                <w:sz w:val="20"/>
                <w:szCs w:val="20"/>
              </w:rPr>
              <w:t xml:space="preserve">Beta-hemolytic Streptococci, </w:t>
            </w:r>
            <w:proofErr w:type="spellStart"/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>Haemophilus</w:t>
            </w:r>
            <w:proofErr w:type="spellEnd"/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influenza a, </w:t>
            </w:r>
            <w:proofErr w:type="spellStart"/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>Kingella</w:t>
            </w:r>
            <w:proofErr w:type="spellEnd"/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749D">
              <w:rPr>
                <w:rFonts w:ascii="Arial" w:eastAsia="Times New Roman" w:hAnsi="Arial" w:cs="Arial"/>
                <w:i/>
                <w:sz w:val="20"/>
                <w:szCs w:val="20"/>
              </w:rPr>
              <w:t>kingae</w:t>
            </w:r>
            <w:proofErr w:type="spellEnd"/>
          </w:p>
        </w:tc>
      </w:tr>
      <w:tr w:rsidR="00FC321C" w:rsidRPr="0091405F" w:rsidTr="00393FAE">
        <w:trPr>
          <w:trHeight w:val="218"/>
        </w:trPr>
        <w:tc>
          <w:tcPr>
            <w:tcW w:w="985" w:type="dxa"/>
            <w:tcBorders>
              <w:right w:val="nil"/>
            </w:tcBorders>
            <w:shd w:val="clear" w:color="auto" w:fill="943634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right w:val="nil"/>
            </w:tcBorders>
            <w:shd w:val="clear" w:color="auto" w:fill="943634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kern w:val="24"/>
                <w:sz w:val="18"/>
                <w:szCs w:val="18"/>
              </w:rPr>
              <w:t>Preferred Therapy</w:t>
            </w:r>
          </w:p>
        </w:tc>
        <w:tc>
          <w:tcPr>
            <w:tcW w:w="5130" w:type="dxa"/>
            <w:gridSpan w:val="3"/>
            <w:shd w:val="clear" w:color="auto" w:fill="943634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kern w:val="24"/>
                <w:sz w:val="20"/>
                <w:szCs w:val="18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kern w:val="24"/>
                <w:sz w:val="18"/>
                <w:szCs w:val="18"/>
              </w:rPr>
              <w:t>Type I PCN allergy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kern w:val="24"/>
                <w:sz w:val="20"/>
                <w:szCs w:val="18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kern w:val="24"/>
                <w:sz w:val="18"/>
                <w:szCs w:val="18"/>
              </w:rPr>
              <w:t>IV to PO Conversion Criteria</w:t>
            </w:r>
          </w:p>
        </w:tc>
      </w:tr>
      <w:tr w:rsidR="00FC321C" w:rsidRPr="0091405F" w:rsidTr="00393FAE">
        <w:trPr>
          <w:cantSplit/>
          <w:trHeight w:val="728"/>
        </w:trPr>
        <w:tc>
          <w:tcPr>
            <w:tcW w:w="985" w:type="dxa"/>
            <w:shd w:val="clear" w:color="auto" w:fill="F2DBDB"/>
          </w:tcPr>
          <w:p w:rsidR="00FC321C" w:rsidRPr="0091405F" w:rsidRDefault="00FC321C" w:rsidP="003F3E41">
            <w:pPr>
              <w:spacing w:before="20" w:after="0" w:line="240" w:lineRule="auto"/>
              <w:rPr>
                <w:rFonts w:ascii="Arial" w:eastAsia="Calibri" w:hAnsi="Arial" w:cs="Arial"/>
                <w:b/>
                <w:sz w:val="18"/>
                <w:szCs w:val="15"/>
              </w:rPr>
            </w:pPr>
            <w:r w:rsidRPr="0091405F">
              <w:rPr>
                <w:rFonts w:ascii="Arial" w:eastAsia="Calibri" w:hAnsi="Arial" w:cs="Arial"/>
                <w:b/>
                <w:sz w:val="18"/>
                <w:szCs w:val="15"/>
              </w:rPr>
              <w:t>Empiric therapy</w:t>
            </w:r>
            <w:r w:rsidR="00886B2E" w:rsidRPr="00886B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5130" w:type="dxa"/>
            <w:gridSpan w:val="3"/>
            <w:shd w:val="clear" w:color="auto" w:fill="F2DBDB"/>
          </w:tcPr>
          <w:p w:rsidR="00FC321C" w:rsidRPr="0091405F" w:rsidRDefault="00FC321C" w:rsidP="00FC321C">
            <w:pPr>
              <w:spacing w:before="20" w:after="0" w:line="240" w:lineRule="auto"/>
              <w:rPr>
                <w:rFonts w:ascii="Arial" w:eastAsia="Calibri" w:hAnsi="Arial" w:cs="Arial"/>
                <w:sz w:val="18"/>
                <w:szCs w:val="15"/>
              </w:rPr>
            </w:pPr>
            <w:r w:rsidRPr="0091405F">
              <w:rPr>
                <w:rFonts w:ascii="Arial" w:eastAsia="Calibri" w:hAnsi="Arial" w:cs="Arial"/>
                <w:b/>
                <w:sz w:val="18"/>
                <w:szCs w:val="15"/>
              </w:rPr>
              <w:t>Vancomycin</w:t>
            </w:r>
            <w:r w:rsidRPr="0091405F">
              <w:rPr>
                <w:rFonts w:ascii="Arial" w:eastAsia="Calibri" w:hAnsi="Arial" w:cs="Arial"/>
                <w:sz w:val="18"/>
                <w:szCs w:val="15"/>
              </w:rPr>
              <w:t xml:space="preserve"> </w:t>
            </w:r>
            <w:r w:rsidR="00393FAE">
              <w:rPr>
                <w:rFonts w:ascii="Arial" w:eastAsia="Calibri" w:hAnsi="Arial" w:cs="Arial"/>
                <w:sz w:val="18"/>
                <w:szCs w:val="15"/>
              </w:rPr>
              <w:t xml:space="preserve">– initial dose </w:t>
            </w:r>
            <w:r w:rsidR="00B11319">
              <w:rPr>
                <w:rFonts w:ascii="Arial" w:eastAsia="Calibri" w:hAnsi="Arial" w:cs="Arial"/>
                <w:sz w:val="18"/>
                <w:szCs w:val="15"/>
              </w:rPr>
              <w:t>15 mg/kg/dose IV q6h</w:t>
            </w:r>
            <w:r w:rsidRPr="0091405F">
              <w:rPr>
                <w:rFonts w:ascii="Arial" w:eastAsia="Calibri" w:hAnsi="Arial" w:cs="Arial"/>
                <w:sz w:val="18"/>
                <w:szCs w:val="15"/>
              </w:rPr>
              <w:t xml:space="preserve"> </w:t>
            </w:r>
            <w:r w:rsidR="008A4A2B">
              <w:rPr>
                <w:rFonts w:ascii="Arial" w:eastAsia="Calibri" w:hAnsi="Arial" w:cs="Arial"/>
                <w:sz w:val="18"/>
                <w:szCs w:val="15"/>
              </w:rPr>
              <w:t>(Max 4</w:t>
            </w:r>
            <w:r w:rsidR="00B11319">
              <w:rPr>
                <w:rFonts w:ascii="Arial" w:eastAsia="Calibri" w:hAnsi="Arial" w:cs="Arial"/>
                <w:sz w:val="18"/>
                <w:szCs w:val="15"/>
              </w:rPr>
              <w:t>g</w:t>
            </w:r>
            <w:r w:rsidR="00B11319" w:rsidRPr="008A4A2B">
              <w:rPr>
                <w:rFonts w:ascii="Arial" w:eastAsia="Calibri" w:hAnsi="Arial" w:cs="Arial"/>
                <w:sz w:val="18"/>
                <w:szCs w:val="15"/>
              </w:rPr>
              <w:t>/day</w:t>
            </w:r>
            <w:r w:rsidR="00B11319">
              <w:rPr>
                <w:rFonts w:ascii="Arial" w:eastAsia="Calibri" w:hAnsi="Arial" w:cs="Arial"/>
                <w:sz w:val="18"/>
                <w:szCs w:val="15"/>
              </w:rPr>
              <w:t>; pharmacy will manage dosing)</w:t>
            </w:r>
          </w:p>
          <w:p w:rsidR="00FC321C" w:rsidRPr="00184E41" w:rsidRDefault="00393FAE" w:rsidP="00FC321C">
            <w:pPr>
              <w:spacing w:before="20"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5"/>
                <w:u w:val="single"/>
              </w:rPr>
            </w:pPr>
            <w:r w:rsidRPr="00184E41">
              <w:rPr>
                <w:rFonts w:ascii="Arial" w:eastAsia="Calibri" w:hAnsi="Arial" w:cs="Arial"/>
                <w:b/>
                <w:color w:val="FF0000"/>
                <w:sz w:val="18"/>
                <w:szCs w:val="15"/>
                <w:u w:val="single"/>
              </w:rPr>
              <w:t>AND</w:t>
            </w:r>
          </w:p>
          <w:p w:rsidR="00FC321C" w:rsidRPr="00B11319" w:rsidRDefault="00FC321C" w:rsidP="008A4A2B">
            <w:pPr>
              <w:spacing w:before="20" w:after="0" w:line="240" w:lineRule="auto"/>
              <w:rPr>
                <w:rFonts w:ascii="Arial" w:eastAsia="Calibri" w:hAnsi="Arial" w:cs="Arial"/>
                <w:sz w:val="18"/>
                <w:szCs w:val="15"/>
              </w:rPr>
            </w:pPr>
            <w:r w:rsidRPr="008A4A2B">
              <w:rPr>
                <w:rFonts w:ascii="Arial" w:eastAsia="Calibri" w:hAnsi="Arial" w:cs="Arial"/>
                <w:b/>
                <w:sz w:val="18"/>
                <w:szCs w:val="15"/>
              </w:rPr>
              <w:t>Ceftriaxone</w:t>
            </w:r>
            <w:r w:rsidRPr="008A4A2B">
              <w:rPr>
                <w:rFonts w:ascii="Arial" w:eastAsia="Calibri" w:hAnsi="Arial" w:cs="Arial"/>
                <w:sz w:val="18"/>
                <w:szCs w:val="15"/>
              </w:rPr>
              <w:t xml:space="preserve"> 100 mg/kg/day </w:t>
            </w:r>
            <w:r w:rsidR="00B11319" w:rsidRPr="008A4A2B">
              <w:rPr>
                <w:rFonts w:ascii="Arial" w:eastAsia="Calibri" w:hAnsi="Arial" w:cs="Arial"/>
                <w:sz w:val="18"/>
                <w:szCs w:val="15"/>
              </w:rPr>
              <w:t xml:space="preserve">IV </w:t>
            </w:r>
            <w:r w:rsidRPr="008A4A2B">
              <w:rPr>
                <w:rFonts w:ascii="Arial" w:eastAsia="Calibri" w:hAnsi="Arial" w:cs="Arial"/>
                <w:sz w:val="18"/>
                <w:szCs w:val="15"/>
              </w:rPr>
              <w:t>q24h</w:t>
            </w:r>
            <w:r w:rsidR="00530AB9" w:rsidRPr="008A4A2B">
              <w:rPr>
                <w:rFonts w:ascii="Arial" w:eastAsia="Calibri" w:hAnsi="Arial" w:cs="Arial"/>
                <w:sz w:val="18"/>
                <w:szCs w:val="15"/>
              </w:rPr>
              <w:t xml:space="preserve"> (</w:t>
            </w:r>
            <w:r w:rsidR="008A4A2B" w:rsidRPr="008A4A2B">
              <w:rPr>
                <w:rFonts w:ascii="Arial" w:eastAsia="Calibri" w:hAnsi="Arial" w:cs="Arial"/>
                <w:sz w:val="18"/>
                <w:szCs w:val="15"/>
              </w:rPr>
              <w:t>Max 2g/dose)</w:t>
            </w:r>
          </w:p>
        </w:tc>
        <w:tc>
          <w:tcPr>
            <w:tcW w:w="5130" w:type="dxa"/>
            <w:gridSpan w:val="3"/>
            <w:shd w:val="clear" w:color="auto" w:fill="F2DBDB"/>
          </w:tcPr>
          <w:p w:rsidR="00393FAE" w:rsidRPr="0091405F" w:rsidRDefault="00FC321C" w:rsidP="00393FAE">
            <w:pPr>
              <w:spacing w:before="20" w:after="0" w:line="240" w:lineRule="auto"/>
              <w:rPr>
                <w:rFonts w:ascii="Arial" w:eastAsia="Calibri" w:hAnsi="Arial" w:cs="Arial"/>
                <w:sz w:val="18"/>
                <w:szCs w:val="15"/>
              </w:rPr>
            </w:pPr>
            <w:r w:rsidRPr="0091405F">
              <w:rPr>
                <w:rFonts w:ascii="Arial" w:eastAsia="Calibri" w:hAnsi="Arial" w:cs="Arial"/>
                <w:b/>
                <w:sz w:val="18"/>
                <w:szCs w:val="15"/>
              </w:rPr>
              <w:t>Vancomycin</w:t>
            </w:r>
            <w:r w:rsidRPr="0091405F">
              <w:rPr>
                <w:rFonts w:ascii="Arial" w:eastAsia="Calibri" w:hAnsi="Arial" w:cs="Arial"/>
                <w:sz w:val="18"/>
                <w:szCs w:val="15"/>
              </w:rPr>
              <w:t xml:space="preserve"> </w:t>
            </w:r>
            <w:r w:rsidR="00393FAE">
              <w:rPr>
                <w:rFonts w:ascii="Arial" w:eastAsia="Calibri" w:hAnsi="Arial" w:cs="Arial"/>
                <w:sz w:val="18"/>
                <w:szCs w:val="15"/>
              </w:rPr>
              <w:t>initial dose 15 mg/kg/dose IV q6h</w:t>
            </w:r>
            <w:r w:rsidR="00393FAE" w:rsidRPr="0091405F">
              <w:rPr>
                <w:rFonts w:ascii="Arial" w:eastAsia="Calibri" w:hAnsi="Arial" w:cs="Arial"/>
                <w:sz w:val="18"/>
                <w:szCs w:val="15"/>
              </w:rPr>
              <w:t xml:space="preserve"> </w:t>
            </w:r>
            <w:r w:rsidR="008A4A2B">
              <w:rPr>
                <w:rFonts w:ascii="Arial" w:eastAsia="Calibri" w:hAnsi="Arial" w:cs="Arial"/>
                <w:sz w:val="18"/>
                <w:szCs w:val="15"/>
              </w:rPr>
              <w:t xml:space="preserve">(Max </w:t>
            </w:r>
            <w:r w:rsidR="008A4A2B" w:rsidRPr="008A4A2B">
              <w:rPr>
                <w:rFonts w:ascii="Arial" w:eastAsia="Calibri" w:hAnsi="Arial" w:cs="Arial"/>
                <w:sz w:val="18"/>
                <w:szCs w:val="15"/>
              </w:rPr>
              <w:t>4g</w:t>
            </w:r>
            <w:r w:rsidR="00393FAE" w:rsidRPr="008A4A2B">
              <w:rPr>
                <w:rFonts w:ascii="Arial" w:eastAsia="Calibri" w:hAnsi="Arial" w:cs="Arial"/>
                <w:sz w:val="18"/>
                <w:szCs w:val="15"/>
              </w:rPr>
              <w:t>/day</w:t>
            </w:r>
            <w:r w:rsidR="00393FAE">
              <w:rPr>
                <w:rFonts w:ascii="Arial" w:eastAsia="Calibri" w:hAnsi="Arial" w:cs="Arial"/>
                <w:sz w:val="18"/>
                <w:szCs w:val="15"/>
              </w:rPr>
              <w:t>; pharmacy will manage dosing)</w:t>
            </w:r>
          </w:p>
          <w:p w:rsidR="00393FAE" w:rsidRPr="00184E41" w:rsidRDefault="00393FAE" w:rsidP="00393FAE">
            <w:pPr>
              <w:spacing w:before="20"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5"/>
                <w:u w:val="single"/>
              </w:rPr>
            </w:pPr>
            <w:r w:rsidRPr="00184E41">
              <w:rPr>
                <w:rFonts w:ascii="Arial" w:eastAsia="Calibri" w:hAnsi="Arial" w:cs="Arial"/>
                <w:b/>
                <w:color w:val="FF0000"/>
                <w:sz w:val="18"/>
                <w:szCs w:val="15"/>
                <w:u w:val="single"/>
              </w:rPr>
              <w:t>AND</w:t>
            </w:r>
          </w:p>
          <w:p w:rsidR="00FC321C" w:rsidRPr="0091405F" w:rsidRDefault="00FC321C" w:rsidP="00A52648">
            <w:pPr>
              <w:spacing w:before="20" w:after="0" w:line="240" w:lineRule="auto"/>
              <w:rPr>
                <w:rFonts w:ascii="Arial" w:eastAsia="Calibri" w:hAnsi="Arial" w:cs="Arial"/>
                <w:sz w:val="18"/>
                <w:szCs w:val="15"/>
              </w:rPr>
            </w:pPr>
            <w:r w:rsidRPr="0091405F">
              <w:rPr>
                <w:rFonts w:ascii="Arial" w:eastAsia="Calibri" w:hAnsi="Arial" w:cs="Arial"/>
                <w:b/>
                <w:sz w:val="18"/>
                <w:szCs w:val="15"/>
              </w:rPr>
              <w:t xml:space="preserve">Gentamicin </w:t>
            </w:r>
            <w:r w:rsidR="00A52648">
              <w:rPr>
                <w:rFonts w:ascii="Arial" w:eastAsia="Calibri" w:hAnsi="Arial" w:cs="Arial"/>
                <w:sz w:val="18"/>
                <w:szCs w:val="15"/>
              </w:rPr>
              <w:t>5-7.5 mg/kg/day IV</w:t>
            </w:r>
            <w:r w:rsidR="00393FAE" w:rsidRPr="00393FAE">
              <w:rPr>
                <w:rFonts w:ascii="Arial" w:eastAsia="Calibri" w:hAnsi="Arial" w:cs="Arial"/>
                <w:sz w:val="18"/>
                <w:szCs w:val="15"/>
              </w:rPr>
              <w:t xml:space="preserve"> (pharmacy will manage dosing)</w:t>
            </w:r>
            <w:r w:rsidR="00393FAE">
              <w:rPr>
                <w:rFonts w:ascii="Arial" w:eastAsia="Calibri" w:hAnsi="Arial" w:cs="Arial"/>
                <w:b/>
                <w:sz w:val="18"/>
                <w:szCs w:val="15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FC321C" w:rsidRPr="0091405F" w:rsidRDefault="00FC321C" w:rsidP="00FC321C">
            <w:pPr>
              <w:numPr>
                <w:ilvl w:val="0"/>
                <w:numId w:val="3"/>
              </w:numPr>
              <w:spacing w:after="0" w:line="240" w:lineRule="auto"/>
              <w:ind w:left="162" w:hanging="198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Afebrile x48h</w:t>
            </w:r>
          </w:p>
          <w:p w:rsidR="00FC321C" w:rsidRPr="0091405F" w:rsidRDefault="00FC321C" w:rsidP="00FC321C">
            <w:pPr>
              <w:numPr>
                <w:ilvl w:val="0"/>
                <w:numId w:val="3"/>
              </w:numPr>
              <w:spacing w:after="0" w:line="240" w:lineRule="auto"/>
              <w:ind w:left="162" w:hanging="198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CRP &lt;3 mg/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dL</w:t>
            </w:r>
            <w:proofErr w:type="spellEnd"/>
          </w:p>
          <w:p w:rsidR="00FC321C" w:rsidRPr="0091405F" w:rsidRDefault="00FC321C" w:rsidP="00FC321C">
            <w:pPr>
              <w:numPr>
                <w:ilvl w:val="0"/>
                <w:numId w:val="3"/>
              </w:numPr>
              <w:spacing w:after="0" w:line="240" w:lineRule="auto"/>
              <w:ind w:left="162" w:hanging="198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Susceptibility of organism reveals adequate oral therapy option</w:t>
            </w:r>
          </w:p>
          <w:p w:rsidR="00FC321C" w:rsidRPr="0091405F" w:rsidRDefault="00FC321C" w:rsidP="00FC321C">
            <w:pPr>
              <w:numPr>
                <w:ilvl w:val="0"/>
                <w:numId w:val="3"/>
              </w:numPr>
              <w:spacing w:after="0" w:line="240" w:lineRule="auto"/>
              <w:ind w:left="162" w:hanging="198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No further surgery planned</w:t>
            </w:r>
          </w:p>
        </w:tc>
      </w:tr>
      <w:tr w:rsidR="00FC321C" w:rsidRPr="0091405F" w:rsidTr="0091405F">
        <w:trPr>
          <w:trHeight w:val="251"/>
        </w:trPr>
        <w:tc>
          <w:tcPr>
            <w:tcW w:w="14328" w:type="dxa"/>
            <w:gridSpan w:val="8"/>
            <w:shd w:val="clear" w:color="auto" w:fill="000000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05F">
              <w:rPr>
                <w:rFonts w:ascii="Arial" w:eastAsia="Times New Roman" w:hAnsi="Arial" w:cs="Arial"/>
                <w:b/>
              </w:rPr>
              <w:t>Treatment Duration and Follow-up</w:t>
            </w:r>
          </w:p>
        </w:tc>
      </w:tr>
      <w:tr w:rsidR="00FC321C" w:rsidRPr="0091405F" w:rsidTr="0009112C">
        <w:trPr>
          <w:trHeight w:val="260"/>
        </w:trPr>
        <w:tc>
          <w:tcPr>
            <w:tcW w:w="7164" w:type="dxa"/>
            <w:gridSpan w:val="5"/>
            <w:shd w:val="clear" w:color="auto" w:fill="31849B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Septic Arthritis</w:t>
            </w:r>
          </w:p>
        </w:tc>
        <w:tc>
          <w:tcPr>
            <w:tcW w:w="7164" w:type="dxa"/>
            <w:gridSpan w:val="3"/>
            <w:shd w:val="clear" w:color="auto" w:fill="31849B"/>
          </w:tcPr>
          <w:p w:rsidR="00FC321C" w:rsidRPr="0091405F" w:rsidRDefault="00FC321C" w:rsidP="00FC321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Osteomyelitis</w:t>
            </w:r>
          </w:p>
        </w:tc>
      </w:tr>
      <w:tr w:rsidR="00FC321C" w:rsidRPr="0091405F" w:rsidTr="0009112C">
        <w:trPr>
          <w:trHeight w:val="953"/>
        </w:trPr>
        <w:tc>
          <w:tcPr>
            <w:tcW w:w="7164" w:type="dxa"/>
            <w:gridSpan w:val="5"/>
            <w:shd w:val="clear" w:color="auto" w:fill="DAEEF3"/>
          </w:tcPr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At 3 week visit: CBC, ESR, CRP and x-ray</w:t>
            </w:r>
          </w:p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If evidence of osteomyelitis by x-ray or ESR &gt;20 mm/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hr</w:t>
            </w:r>
            <w:proofErr w:type="spellEnd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 xml:space="preserve"> or CRP &gt;1 mg/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dL</w:t>
            </w:r>
            <w:proofErr w:type="spellEnd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, extend therapy to 6 weeks</w:t>
            </w:r>
          </w:p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End of therapy: Stable x-ray, ESR &lt;20mm/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hr</w:t>
            </w:r>
            <w:proofErr w:type="spellEnd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, CRP &lt;1mg/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7164" w:type="dxa"/>
            <w:gridSpan w:val="3"/>
            <w:shd w:val="clear" w:color="auto" w:fill="DAEEF3"/>
          </w:tcPr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At 3 week visit: CBC, ESR, CRP</w:t>
            </w:r>
          </w:p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At 6 week visit: CBC, ESR, CRP and x-ray</w:t>
            </w:r>
          </w:p>
          <w:p w:rsidR="00FC321C" w:rsidRPr="0091405F" w:rsidRDefault="00FC321C" w:rsidP="00FC321C">
            <w:pPr>
              <w:numPr>
                <w:ilvl w:val="0"/>
                <w:numId w:val="4"/>
              </w:numPr>
              <w:spacing w:before="20" w:after="0" w:line="240" w:lineRule="auto"/>
              <w:ind w:left="283" w:hanging="257"/>
              <w:rPr>
                <w:rFonts w:ascii="Arial" w:eastAsia="Times New Roman" w:hAnsi="Arial" w:cs="Arial"/>
                <w:sz w:val="18"/>
                <w:szCs w:val="18"/>
              </w:rPr>
            </w:pPr>
            <w:r w:rsidRPr="0091405F">
              <w:rPr>
                <w:rFonts w:ascii="Arial" w:eastAsia="Times New Roman" w:hAnsi="Arial" w:cs="Arial"/>
                <w:sz w:val="18"/>
                <w:szCs w:val="18"/>
              </w:rPr>
              <w:t>End of therapy: Stable x-ray, ESR &lt;20mm/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hr</w:t>
            </w:r>
            <w:proofErr w:type="spellEnd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, CRP &lt;1mg/</w:t>
            </w:r>
            <w:proofErr w:type="spellStart"/>
            <w:r w:rsidRPr="0091405F">
              <w:rPr>
                <w:rFonts w:ascii="Arial" w:eastAsia="Times New Roman" w:hAnsi="Arial" w:cs="Arial"/>
                <w:sz w:val="18"/>
                <w:szCs w:val="18"/>
              </w:rPr>
              <w:t>dL</w:t>
            </w:r>
            <w:proofErr w:type="spellEnd"/>
          </w:p>
        </w:tc>
      </w:tr>
      <w:tr w:rsidR="00772D1F" w:rsidRPr="0091405F" w:rsidTr="00772D1F">
        <w:trPr>
          <w:trHeight w:val="269"/>
        </w:trPr>
        <w:tc>
          <w:tcPr>
            <w:tcW w:w="14328" w:type="dxa"/>
            <w:gridSpan w:val="8"/>
            <w:shd w:val="clear" w:color="auto" w:fill="000000" w:themeFill="text1"/>
          </w:tcPr>
          <w:p w:rsidR="00772D1F" w:rsidRPr="00772D1F" w:rsidRDefault="00772D1F" w:rsidP="00772D1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772D1F">
              <w:rPr>
                <w:rFonts w:ascii="Arial" w:eastAsia="Times New Roman" w:hAnsi="Arial" w:cs="Arial"/>
                <w:b/>
                <w:color w:val="FFFFFF" w:themeColor="background1"/>
              </w:rPr>
              <w:t>Considerations</w:t>
            </w:r>
          </w:p>
        </w:tc>
      </w:tr>
      <w:tr w:rsidR="00FC321C" w:rsidRPr="0091405F" w:rsidTr="00393FAE">
        <w:trPr>
          <w:trHeight w:val="278"/>
        </w:trPr>
        <w:tc>
          <w:tcPr>
            <w:tcW w:w="14328" w:type="dxa"/>
            <w:gridSpan w:val="8"/>
            <w:shd w:val="clear" w:color="auto" w:fill="D9D9D9" w:themeFill="background1" w:themeFillShade="D9"/>
          </w:tcPr>
          <w:p w:rsidR="000833A4" w:rsidRDefault="00B11319" w:rsidP="003F3E41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3F3E41" w:rsidRPr="003F3E41">
              <w:rPr>
                <w:rFonts w:ascii="Arial" w:eastAsia="Times New Roman" w:hAnsi="Arial" w:cs="Arial"/>
                <w:sz w:val="18"/>
                <w:szCs w:val="18"/>
              </w:rPr>
              <w:t xml:space="preserve"> If sedation required for MRI, with appropriate coordination MRI and surgery can often be performed under one anesthesia</w:t>
            </w:r>
          </w:p>
          <w:p w:rsidR="000833A4" w:rsidRDefault="000833A4" w:rsidP="003F3E41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If delay to antibiotics of &gt;6 hours, consider empiric antibiotics in discussion with orthopedics and pediatrics</w:t>
            </w:r>
          </w:p>
          <w:p w:rsidR="003F3E41" w:rsidRPr="001B795C" w:rsidRDefault="00886B2E" w:rsidP="001B795C">
            <w:pPr>
              <w:spacing w:after="0" w:line="240" w:lineRule="auto"/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</w:pPr>
            <w:r w:rsidRPr="00886B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vertAlign w:val="superscript"/>
              </w:rPr>
              <w:t>¥</w:t>
            </w:r>
            <w:r w:rsidR="001B795C">
              <w:rPr>
                <w:rFonts w:ascii="Arial" w:eastAsia="Times New Roman" w:hAnsi="Arial" w:cs="Arial"/>
                <w:sz w:val="18"/>
                <w:szCs w:val="18"/>
              </w:rPr>
              <w:t xml:space="preserve">Empiric antibiotics selected to </w:t>
            </w:r>
            <w:r w:rsidR="001B795C" w:rsidRPr="0091405F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 xml:space="preserve">cover MRSA, MSSA, beta-hemolytic streptococci, </w:t>
            </w:r>
            <w:proofErr w:type="spellStart"/>
            <w:r w:rsidR="001B795C" w:rsidRPr="0091405F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>Haemophilus</w:t>
            </w:r>
            <w:proofErr w:type="spellEnd"/>
            <w:r w:rsidR="001B795C" w:rsidRPr="0091405F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 xml:space="preserve"> influenza a, </w:t>
            </w:r>
            <w:proofErr w:type="spellStart"/>
            <w:r w:rsidR="001B795C" w:rsidRPr="0091405F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>Kingella</w:t>
            </w:r>
            <w:proofErr w:type="spellEnd"/>
            <w:r w:rsidR="001B795C" w:rsidRPr="0091405F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>, and enteric GNRs</w:t>
            </w:r>
          </w:p>
          <w:p w:rsidR="00FC321C" w:rsidRPr="0091405F" w:rsidRDefault="00FC321C" w:rsidP="00FC321C">
            <w:pPr>
              <w:spacing w:before="20"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91405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Antimicrobial Stewardship Program Approved </w:t>
            </w:r>
            <w:r w:rsidR="0090493A">
              <w:rPr>
                <w:rFonts w:ascii="Arial" w:eastAsia="Times New Roman" w:hAnsi="Arial" w:cs="Arial"/>
                <w:i/>
                <w:sz w:val="16"/>
                <w:szCs w:val="16"/>
              </w:rPr>
              <w:t>2018; Updated April 2019</w:t>
            </w:r>
            <w:bookmarkStart w:id="0" w:name="_GoBack"/>
            <w:bookmarkEnd w:id="0"/>
          </w:p>
        </w:tc>
      </w:tr>
    </w:tbl>
    <w:p w:rsidR="00B61F7B" w:rsidRPr="00993F03" w:rsidRDefault="003B166C" w:rsidP="000D4D26">
      <w:pPr>
        <w:spacing w:after="0" w:line="240" w:lineRule="auto"/>
        <w:jc w:val="center"/>
        <w:rPr>
          <w:rFonts w:ascii="Arial" w:hAnsi="Arial" w:cs="Arial"/>
          <w:i/>
          <w:kern w:val="24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CF676B7" wp14:editId="53C3BBC4">
            <wp:extent cx="897445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44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F7B" w:rsidRPr="00993F03" w:rsidSect="00D85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4E6"/>
    <w:multiLevelType w:val="hybridMultilevel"/>
    <w:tmpl w:val="63B6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6D1"/>
    <w:multiLevelType w:val="hybridMultilevel"/>
    <w:tmpl w:val="9DC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DA9"/>
    <w:multiLevelType w:val="hybridMultilevel"/>
    <w:tmpl w:val="E3EA1890"/>
    <w:lvl w:ilvl="0" w:tplc="B3D4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C9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8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E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8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0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23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87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8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31F95"/>
    <w:multiLevelType w:val="hybridMultilevel"/>
    <w:tmpl w:val="024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196"/>
    <w:multiLevelType w:val="hybridMultilevel"/>
    <w:tmpl w:val="C5D03F0E"/>
    <w:lvl w:ilvl="0" w:tplc="50BC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2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4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6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6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2B0B70"/>
    <w:multiLevelType w:val="hybridMultilevel"/>
    <w:tmpl w:val="ECD0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B09"/>
    <w:multiLevelType w:val="hybridMultilevel"/>
    <w:tmpl w:val="C23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672"/>
    <w:multiLevelType w:val="hybridMultilevel"/>
    <w:tmpl w:val="976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0E3C"/>
    <w:multiLevelType w:val="hybridMultilevel"/>
    <w:tmpl w:val="84F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D"/>
    <w:rsid w:val="000700CF"/>
    <w:rsid w:val="000833A4"/>
    <w:rsid w:val="0008659D"/>
    <w:rsid w:val="0009112C"/>
    <w:rsid w:val="000D4D26"/>
    <w:rsid w:val="00184E41"/>
    <w:rsid w:val="001B795C"/>
    <w:rsid w:val="001F37E4"/>
    <w:rsid w:val="002F0C39"/>
    <w:rsid w:val="00385CEF"/>
    <w:rsid w:val="00393FAE"/>
    <w:rsid w:val="003B166C"/>
    <w:rsid w:val="003F3E41"/>
    <w:rsid w:val="00473E71"/>
    <w:rsid w:val="00475657"/>
    <w:rsid w:val="00484F2C"/>
    <w:rsid w:val="00502DBA"/>
    <w:rsid w:val="00530AB9"/>
    <w:rsid w:val="005314A4"/>
    <w:rsid w:val="00575FFF"/>
    <w:rsid w:val="00627937"/>
    <w:rsid w:val="00631A46"/>
    <w:rsid w:val="006D749D"/>
    <w:rsid w:val="007127F8"/>
    <w:rsid w:val="0076575C"/>
    <w:rsid w:val="00772D1F"/>
    <w:rsid w:val="00886B2E"/>
    <w:rsid w:val="008A10A6"/>
    <w:rsid w:val="008A4A2B"/>
    <w:rsid w:val="0090493A"/>
    <w:rsid w:val="0091405F"/>
    <w:rsid w:val="009406EA"/>
    <w:rsid w:val="00993F03"/>
    <w:rsid w:val="00A05A0B"/>
    <w:rsid w:val="00A52648"/>
    <w:rsid w:val="00B11319"/>
    <w:rsid w:val="00B72B9C"/>
    <w:rsid w:val="00C0204D"/>
    <w:rsid w:val="00C13453"/>
    <w:rsid w:val="00C509AD"/>
    <w:rsid w:val="00C843C4"/>
    <w:rsid w:val="00C87F9B"/>
    <w:rsid w:val="00CE78F6"/>
    <w:rsid w:val="00D20107"/>
    <w:rsid w:val="00D5782D"/>
    <w:rsid w:val="00D85A7D"/>
    <w:rsid w:val="00DA5029"/>
    <w:rsid w:val="00F150B8"/>
    <w:rsid w:val="00F9170E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A83B"/>
  <w15:chartTrackingRefBased/>
  <w15:docId w15:val="{41EAF00D-88AB-45F0-9843-D033CD7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7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8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1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580645-9C04-4B39-A11C-4EE3F41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Gotcsik, Marah E</dc:creator>
  <cp:keywords/>
  <dc:description/>
  <cp:lastModifiedBy>Gordon, Katie K</cp:lastModifiedBy>
  <cp:revision>5</cp:revision>
  <cp:lastPrinted>2019-05-06T21:26:00Z</cp:lastPrinted>
  <dcterms:created xsi:type="dcterms:W3CDTF">2019-05-06T21:20:00Z</dcterms:created>
  <dcterms:modified xsi:type="dcterms:W3CDTF">2019-08-02T16:52:00Z</dcterms:modified>
</cp:coreProperties>
</file>