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8CA5" w14:textId="6888C56E" w:rsidR="00DE1F73" w:rsidRDefault="00DE1F73" w:rsidP="00DE1F73">
      <w:pPr>
        <w:shd w:val="clear" w:color="auto" w:fill="FFFFFF"/>
        <w:spacing w:after="390" w:line="240" w:lineRule="auto"/>
        <w:jc w:val="center"/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  <w:r w:rsidRPr="00DE1F73">
        <w:rPr>
          <w:rFonts w:ascii="Open Sans" w:hAnsi="Open Sans" w:cs="Open Sans"/>
          <w:b/>
          <w:bCs/>
          <w:noProof/>
          <w:color w:val="222222"/>
          <w:sz w:val="36"/>
          <w:szCs w:val="36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992F269" wp14:editId="597E26D8">
            <wp:simplePos x="0" y="0"/>
            <wp:positionH relativeFrom="margin">
              <wp:posOffset>5676900</wp:posOffset>
            </wp:positionH>
            <wp:positionV relativeFrom="margin">
              <wp:posOffset>0</wp:posOffset>
            </wp:positionV>
            <wp:extent cx="1143000" cy="1143000"/>
            <wp:effectExtent l="0" t="0" r="0" b="0"/>
            <wp:wrapSquare wrapText="bothSides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40059" w14:textId="3F7437AD" w:rsidR="00C621E5" w:rsidRPr="00C621E5" w:rsidRDefault="00C621E5" w:rsidP="00DE1F73">
      <w:pPr>
        <w:shd w:val="clear" w:color="auto" w:fill="FFFFFF"/>
        <w:spacing w:after="390" w:line="240" w:lineRule="auto"/>
        <w:jc w:val="center"/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</w:pPr>
      <w:r w:rsidRPr="00DE1F73"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  <w:t>ADEC SOLID WASTE PROGRAM</w:t>
      </w:r>
      <w:r w:rsidRPr="00DE1F73"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  <w:br/>
      </w:r>
      <w:r w:rsidRPr="00DE1F73">
        <w:rPr>
          <w:rFonts w:ascii="Open Sans" w:hAnsi="Open Sans" w:cs="Open Sans"/>
          <w:b/>
          <w:bCs/>
          <w:noProof/>
          <w:color w:val="222222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B069177" wp14:editId="27C53006">
            <wp:simplePos x="457200" y="640080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F73"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  <w:t>Minimizing Flooding Impacts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br/>
        <w:t>_____________________________________________________________________________________________________________________________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br/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Prior to breakup there are some precautions to take to lessen the impact to or from your solid waste or recycling program in the event of a flood. These are listed on a sliding scale as not all communities have the same options.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br/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If your landfill is already located on high ground and most of your materials are staged there, you only need to focus on materials that are still within the floodplain.</w:t>
      </w:r>
    </w:p>
    <w:p w14:paraId="53F2D339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Remove any materials staged for backhaul from the barge landing and:</w:t>
      </w:r>
    </w:p>
    <w:p w14:paraId="259E259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Secure using banding or cargo straps and store away from the river.</w:t>
      </w:r>
    </w:p>
    <w:p w14:paraId="3F161E87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Store them in a building or connex box that is secured to the ground.</w:t>
      </w:r>
    </w:p>
    <w:p w14:paraId="4E9DEBB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Move them to high ground.</w:t>
      </w:r>
    </w:p>
    <w:p w14:paraId="1B69DBE6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Secure any loose items that will easily float, such as freezers, refrigerators, etc. if they are stored in the flood plain and:</w:t>
      </w:r>
    </w:p>
    <w:p w14:paraId="4725D468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Store inside the landfill and close the gate.</w:t>
      </w:r>
    </w:p>
    <w:p w14:paraId="1152690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Move to high ground.</w:t>
      </w:r>
    </w:p>
    <w:p w14:paraId="21951EAC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Ensure that all liquids, chemicals, containers, and drums containing hazardous substances including fuels, oils, antifreeze, and any other liquids are:</w:t>
      </w:r>
    </w:p>
    <w:p w14:paraId="70C66521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Properly labeled and have leak-proof secured lids in place.</w:t>
      </w:r>
    </w:p>
    <w:p w14:paraId="0622891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Stored with leak-proof lids inside a building or secured connex.</w:t>
      </w:r>
    </w:p>
    <w:p w14:paraId="75F30D8D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Moved to high ground.</w:t>
      </w:r>
    </w:p>
    <w:p w14:paraId="085BC945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Secure and relocate any lead-acid batteries:</w:t>
      </w:r>
    </w:p>
    <w:p w14:paraId="44451709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a tote with a lid secured in place.</w:t>
      </w:r>
    </w:p>
    <w:p w14:paraId="29918C3D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a tote with a secured lid in a connex or building.</w:t>
      </w:r>
    </w:p>
    <w:p w14:paraId="4FBDBD14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a secured and covered container or tote and moved to higher ground.</w:t>
      </w:r>
    </w:p>
    <w:p w14:paraId="3D0B7598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Lock and secure any connex or other containers that may contain collected recycling such as aluminum cans or plastic bottles. This can be done by:</w:t>
      </w:r>
    </w:p>
    <w:p w14:paraId="7BAB0D13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Using a cargo strap on the doors and securely staking the connex into the ground.</w:t>
      </w:r>
    </w:p>
    <w:p w14:paraId="6C218F54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Chaining the connex to a large heavy object such as a piece of heavy equipment.</w:t>
      </w:r>
    </w:p>
    <w:p w14:paraId="5E848C6A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Moving the connex to higher ground.</w:t>
      </w:r>
    </w:p>
    <w:p w14:paraId="1E0BA4F0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If possible, cover all disposed wastes at the landfill with cover material. Covered waste is less likely to wash out of the landfill in the event of a flood.</w:t>
      </w:r>
    </w:p>
    <w:p w14:paraId="3FC34A47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Consolidate waste and use what cover material is available.</w:t>
      </w:r>
    </w:p>
    <w:p w14:paraId="42055D62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Consolidate waste and cover with at least 6 inches of material.</w:t>
      </w:r>
    </w:p>
    <w:p w14:paraId="62DC5F67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Close and secure the landfill gate and any other open points to the landfill. This may help contain wastes within the landfill boundary during a flood.</w:t>
      </w:r>
    </w:p>
    <w:p w14:paraId="3B44D45A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Use a temporary fence such as snow or silt fencing to close up landfill.</w:t>
      </w:r>
    </w:p>
    <w:p w14:paraId="5A9343AE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Use a chain-link swing gate that reaches the ground to close up landfill.</w:t>
      </w:r>
    </w:p>
    <w:p w14:paraId="5E9852E2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Use a chain-link swing gate that reaches the ground to close up landfill. Also fill in any gaps between the ground and the fence line to fully enclose the landfill.</w:t>
      </w:r>
    </w:p>
    <w:p w14:paraId="1867C558" w14:textId="3FA5B1B2" w:rsidR="003D34EF" w:rsidRDefault="00C621E5"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If you have any questions regarding these recommendations, or would like to discuss what your community could do in the event of a flood, please contact your </w:t>
      </w:r>
      <w:hyperlink r:id="rId6" w:tooltip="rural-contacts" w:history="1">
        <w:r>
          <w:rPr>
            <w:rStyle w:val="Hyperlink"/>
            <w:rFonts w:ascii="Open Sans" w:hAnsi="Open Sans" w:cs="Open Sans"/>
            <w:color w:val="0066CC"/>
            <w:sz w:val="21"/>
            <w:szCs w:val="21"/>
            <w:shd w:val="clear" w:color="auto" w:fill="FFFFFF"/>
          </w:rPr>
          <w:t>Rural Landfill Specialist</w:t>
        </w:r>
      </w:hyperlink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.</w:t>
      </w:r>
    </w:p>
    <w:sectPr w:rsidR="003D34EF" w:rsidSect="00C62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A6"/>
    <w:multiLevelType w:val="multilevel"/>
    <w:tmpl w:val="3716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5"/>
    <w:rsid w:val="00087F94"/>
    <w:rsid w:val="00353671"/>
    <w:rsid w:val="00C621E5"/>
    <w:rsid w:val="00D677E6"/>
    <w:rsid w:val="00DE1F73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462D"/>
  <w15:chartTrackingRefBased/>
  <w15:docId w15:val="{92543542-19C3-4C0B-AE0B-2B973AB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621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.alaska.gov/eh/solid-waste/waste-in-rural-alaska/rural-conta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Trisha M (DEC)</dc:creator>
  <cp:keywords/>
  <dc:description/>
  <cp:lastModifiedBy>Salt, Julia A</cp:lastModifiedBy>
  <cp:revision>2</cp:revision>
  <dcterms:created xsi:type="dcterms:W3CDTF">2023-05-17T20:55:00Z</dcterms:created>
  <dcterms:modified xsi:type="dcterms:W3CDTF">2023-05-17T20:55:00Z</dcterms:modified>
</cp:coreProperties>
</file>